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BC7" w14:textId="3265C07E" w:rsidR="002E73CF" w:rsidRPr="00181C57" w:rsidRDefault="00D834B4" w:rsidP="00181C57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81C57">
        <w:rPr>
          <w:rFonts w:ascii="標楷體" w:eastAsia="標楷體" w:hAnsi="標楷體" w:hint="eastAsia"/>
          <w:b/>
          <w:bCs/>
          <w:sz w:val="32"/>
          <w:szCs w:val="32"/>
        </w:rPr>
        <w:t>公共行政事務跟進委員會聽取意見</w:t>
      </w:r>
    </w:p>
    <w:p w14:paraId="4D2A106B" w14:textId="19F77FE5" w:rsidR="00D834B4" w:rsidRPr="00181C57" w:rsidRDefault="00D834B4" w:rsidP="00181C57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81C57">
        <w:rPr>
          <w:rFonts w:ascii="標楷體" w:eastAsia="標楷體" w:hAnsi="標楷體" w:hint="eastAsia"/>
          <w:b/>
          <w:bCs/>
          <w:sz w:val="32"/>
          <w:szCs w:val="32"/>
        </w:rPr>
        <w:t>持續跟進</w:t>
      </w:r>
      <w:proofErr w:type="gramStart"/>
      <w:r w:rsidRPr="00181C57">
        <w:rPr>
          <w:rFonts w:ascii="標楷體" w:eastAsia="標楷體" w:hAnsi="標楷體" w:hint="eastAsia"/>
          <w:b/>
          <w:bCs/>
          <w:sz w:val="32"/>
          <w:szCs w:val="32"/>
        </w:rPr>
        <w:t>優化橫琴</w:t>
      </w:r>
      <w:proofErr w:type="gramEnd"/>
      <w:r w:rsidRPr="00181C57">
        <w:rPr>
          <w:rFonts w:ascii="標楷體" w:eastAsia="標楷體" w:hAnsi="標楷體" w:hint="eastAsia"/>
          <w:b/>
          <w:bCs/>
          <w:sz w:val="32"/>
          <w:szCs w:val="32"/>
        </w:rPr>
        <w:t>口岸便利通關措施</w:t>
      </w:r>
    </w:p>
    <w:p w14:paraId="6FFFC765" w14:textId="56861E76" w:rsidR="00D834B4" w:rsidRPr="00181C57" w:rsidRDefault="00000000" w:rsidP="00D834B4">
      <w:pPr>
        <w:overflowPunct w:val="0"/>
        <w:spacing w:afterLines="100" w:after="360" w:line="6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hyperlink r:id="rId6" w:history="1">
        <w:r w:rsidR="00D834B4" w:rsidRPr="00181C57">
          <w:rPr>
            <w:rFonts w:ascii="標楷體" w:eastAsia="標楷體" w:hAnsi="標楷體"/>
            <w:sz w:val="32"/>
            <w:szCs w:val="32"/>
          </w:rPr>
          <w:br/>
        </w:r>
      </w:hyperlink>
      <w:r w:rsidR="00D834B4" w:rsidRPr="00181C57">
        <w:rPr>
          <w:rFonts w:ascii="標楷體" w:eastAsia="標楷體" w:hAnsi="標楷體" w:hint="eastAsia"/>
          <w:sz w:val="32"/>
          <w:szCs w:val="32"/>
        </w:rPr>
        <w:t xml:space="preserve">  </w:t>
      </w:r>
      <w:r w:rsidR="00027F16" w:rsidRPr="00181C57">
        <w:rPr>
          <w:rFonts w:ascii="標楷體" w:eastAsia="標楷體" w:hAnsi="標楷體" w:hint="eastAsia"/>
          <w:sz w:val="32"/>
          <w:szCs w:val="32"/>
        </w:rPr>
        <w:t xml:space="preserve">  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立法會公共行政事務跟進委員會</w:t>
      </w:r>
      <w:r w:rsidR="00027F16" w:rsidRPr="00181C57">
        <w:rPr>
          <w:rFonts w:ascii="標楷體" w:eastAsia="標楷體" w:hAnsi="標楷體" w:hint="eastAsia"/>
          <w:spacing w:val="5"/>
          <w:sz w:val="32"/>
          <w:szCs w:val="32"/>
        </w:rPr>
        <w:t>下設的專責小組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持續跟進“</w:t>
      </w:r>
      <w:proofErr w:type="gramStart"/>
      <w:r w:rsidR="00027F16" w:rsidRPr="00181C57">
        <w:rPr>
          <w:rFonts w:ascii="標楷體" w:eastAsia="標楷體" w:hAnsi="標楷體"/>
          <w:spacing w:val="5"/>
          <w:sz w:val="32"/>
          <w:szCs w:val="32"/>
        </w:rPr>
        <w:t>優化橫琴</w:t>
      </w:r>
      <w:proofErr w:type="gramEnd"/>
      <w:r w:rsidR="00027F16" w:rsidRPr="00181C57">
        <w:rPr>
          <w:rFonts w:ascii="標楷體" w:eastAsia="標楷體" w:hAnsi="標楷體"/>
          <w:spacing w:val="5"/>
          <w:sz w:val="32"/>
          <w:szCs w:val="32"/>
        </w:rPr>
        <w:t>口岸便利通關措施”議題，邀請不同界別的社團代表出席</w:t>
      </w:r>
      <w:r w:rsidR="00027F16" w:rsidRPr="00181C57">
        <w:rPr>
          <w:rFonts w:ascii="標楷體" w:eastAsia="標楷體" w:hAnsi="標楷體" w:hint="eastAsia"/>
          <w:spacing w:val="5"/>
          <w:sz w:val="32"/>
          <w:szCs w:val="32"/>
        </w:rPr>
        <w:t>會議，就</w:t>
      </w:r>
      <w:proofErr w:type="gramStart"/>
      <w:r w:rsidR="00027F16" w:rsidRPr="00181C57">
        <w:rPr>
          <w:rFonts w:ascii="標楷體" w:eastAsia="標楷體" w:hAnsi="標楷體" w:hint="eastAsia"/>
          <w:spacing w:val="5"/>
          <w:sz w:val="32"/>
          <w:szCs w:val="32"/>
        </w:rPr>
        <w:t>優化橫琴</w:t>
      </w:r>
      <w:proofErr w:type="gramEnd"/>
      <w:r w:rsidR="00027F16" w:rsidRPr="00181C57">
        <w:rPr>
          <w:rFonts w:ascii="標楷體" w:eastAsia="標楷體" w:hAnsi="標楷體" w:hint="eastAsia"/>
          <w:spacing w:val="5"/>
          <w:sz w:val="32"/>
          <w:szCs w:val="32"/>
        </w:rPr>
        <w:t>口岸通關安排收集意見。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委員會主席馬志成表示，稍後將邀請相關政府部門舉行專題會議，期望透過持續跟進與協作，優化“人、車、貨”三大</w:t>
      </w:r>
      <w:r w:rsidR="00027F16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通關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環節</w:t>
      </w:r>
      <w:r w:rsidR="00027F16" w:rsidRPr="00181C57">
        <w:rPr>
          <w:rFonts w:ascii="標楷體" w:eastAsia="標楷體" w:hAnsi="標楷體" w:hint="eastAsia"/>
          <w:spacing w:val="5"/>
          <w:sz w:val="32"/>
          <w:szCs w:val="32"/>
        </w:rPr>
        <w:t>，尤其</w:t>
      </w:r>
      <w:proofErr w:type="gramStart"/>
      <w:r w:rsidR="00027F16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提升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旅檢通道</w:t>
      </w:r>
      <w:proofErr w:type="gramEnd"/>
      <w:r w:rsidR="00027F16" w:rsidRPr="00181C57">
        <w:rPr>
          <w:rFonts w:ascii="標楷體" w:eastAsia="標楷體" w:hAnsi="標楷體"/>
          <w:spacing w:val="5"/>
          <w:sz w:val="32"/>
          <w:szCs w:val="32"/>
        </w:rPr>
        <w:t>便利性、優化車輛查驗流程與動線規劃、</w:t>
      </w:r>
      <w:r w:rsidR="00027F16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強化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貨物通關</w:t>
      </w:r>
      <w:r w:rsidR="00027F16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協同</w:t>
      </w:r>
      <w:r w:rsidR="00027F16" w:rsidRPr="00181C57">
        <w:rPr>
          <w:rFonts w:ascii="標楷體" w:eastAsia="標楷體" w:hAnsi="標楷體"/>
          <w:spacing w:val="5"/>
          <w:sz w:val="32"/>
          <w:szCs w:val="32"/>
        </w:rPr>
        <w:t>效率，提升口岸整體承載力與運作效能，切實回應社會訴求。</w:t>
      </w:r>
    </w:p>
    <w:p w14:paraId="42917144" w14:textId="5B401A81" w:rsidR="00D834B4" w:rsidRPr="00181C57" w:rsidRDefault="00027F16" w:rsidP="00D834B4">
      <w:pPr>
        <w:pStyle w:val="Web"/>
        <w:overflowPunct w:val="0"/>
        <w:spacing w:before="0" w:beforeAutospacing="0" w:afterLines="100" w:after="360" w:afterAutospacing="0" w:line="600" w:lineRule="exact"/>
        <w:ind w:firstLineChars="200" w:firstLine="660"/>
        <w:jc w:val="both"/>
        <w:rPr>
          <w:rFonts w:ascii="標楷體" w:eastAsia="標楷體" w:hAnsi="標楷體"/>
          <w:spacing w:val="5"/>
          <w:sz w:val="32"/>
          <w:szCs w:val="32"/>
        </w:rPr>
      </w:pPr>
      <w:r w:rsidRPr="00181C57">
        <w:rPr>
          <w:rFonts w:ascii="標楷體" w:eastAsia="標楷體" w:hAnsi="標楷體"/>
          <w:spacing w:val="5"/>
          <w:sz w:val="32"/>
          <w:szCs w:val="32"/>
        </w:rPr>
        <w:t>“</w:t>
      </w:r>
      <w:proofErr w:type="gramStart"/>
      <w:r w:rsidRPr="00181C57">
        <w:rPr>
          <w:rFonts w:ascii="標楷體" w:eastAsia="標楷體" w:hAnsi="標楷體"/>
          <w:spacing w:val="5"/>
          <w:sz w:val="32"/>
          <w:szCs w:val="32"/>
        </w:rPr>
        <w:t>優化橫琴</w:t>
      </w:r>
      <w:proofErr w:type="gramEnd"/>
      <w:r w:rsidRPr="00181C57">
        <w:rPr>
          <w:rFonts w:ascii="標楷體" w:eastAsia="標楷體" w:hAnsi="標楷體"/>
          <w:spacing w:val="5"/>
          <w:sz w:val="32"/>
          <w:szCs w:val="32"/>
        </w:rPr>
        <w:t>口岸便利通關措施”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是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公共行政事務跟進委員會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今年跟進的其中一個議題，</w:t>
      </w:r>
      <w:r w:rsidR="00FD5B27" w:rsidRPr="00181C57">
        <w:rPr>
          <w:rFonts w:ascii="標楷體" w:eastAsia="標楷體" w:hAnsi="標楷體" w:hint="eastAsia"/>
          <w:spacing w:val="5"/>
          <w:sz w:val="32"/>
          <w:szCs w:val="32"/>
        </w:rPr>
        <w:t>早前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成立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了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專責小組展開跟進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工作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，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並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由梁鴻細議員擔任小組協調員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。近日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，專責小組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舉行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了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多次會議，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邀請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了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來自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旅遊、物流、餐飲、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教育、文化、體育、</w:t>
      </w:r>
      <w:r w:rsidR="00D73ABE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法律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  <w:lang w:eastAsia="zh-HK"/>
        </w:rPr>
        <w:t>及其他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專業等不同界別的社團，以及青年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和學生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團體的代表出席，共同探討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推動橫琴口岸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通關的便捷性。</w:t>
      </w:r>
    </w:p>
    <w:p w14:paraId="7D1E552A" w14:textId="415EE62B" w:rsidR="00FD5B27" w:rsidRPr="00181C57" w:rsidRDefault="00027F16" w:rsidP="00D834B4">
      <w:pPr>
        <w:pStyle w:val="Web"/>
        <w:overflowPunct w:val="0"/>
        <w:spacing w:afterLines="100" w:after="360" w:line="600" w:lineRule="exact"/>
        <w:ind w:firstLineChars="200" w:firstLine="660"/>
        <w:jc w:val="both"/>
        <w:rPr>
          <w:rFonts w:ascii="標楷體" w:eastAsia="標楷體" w:hAnsi="標楷體"/>
          <w:spacing w:val="5"/>
          <w:sz w:val="32"/>
          <w:szCs w:val="32"/>
        </w:rPr>
      </w:pPr>
      <w:r w:rsidRPr="00181C57">
        <w:rPr>
          <w:rFonts w:ascii="標楷體" w:eastAsia="標楷體" w:hAnsi="標楷體" w:hint="eastAsia"/>
          <w:spacing w:val="5"/>
          <w:sz w:val="32"/>
          <w:szCs w:val="32"/>
        </w:rPr>
        <w:t>會上，與會者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對於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特區政府近年持續推出多項</w:t>
      </w:r>
      <w:proofErr w:type="gramStart"/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促進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橫琴口岸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便利通關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的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措施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予以</w:t>
      </w:r>
      <w:r w:rsidR="00D73ABE" w:rsidRPr="00181C57">
        <w:rPr>
          <w:rFonts w:ascii="標楷體" w:eastAsia="標楷體" w:hAnsi="標楷體"/>
          <w:spacing w:val="5"/>
          <w:sz w:val="32"/>
          <w:szCs w:val="32"/>
        </w:rPr>
        <w:t>肯定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，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認為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有利配合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琴澳一體化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發展趨勢，有效提升居民與旅客往來的便利性。然而，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隨著琴澳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兩地在民生、教育、就業及產業等領域深度融合，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lastRenderedPageBreak/>
        <w:t>跨境往來日益頻密，通關流量持續上升，現行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通關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安排面臨新的壓力與挑戰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。</w:t>
      </w:r>
    </w:p>
    <w:p w14:paraId="60B3160B" w14:textId="7318A57F" w:rsidR="00D834B4" w:rsidRPr="00181C57" w:rsidRDefault="00FD5B27" w:rsidP="00D834B4">
      <w:pPr>
        <w:pStyle w:val="Web"/>
        <w:overflowPunct w:val="0"/>
        <w:spacing w:afterLines="100" w:after="360" w:line="600" w:lineRule="exact"/>
        <w:ind w:firstLineChars="200" w:firstLine="660"/>
        <w:jc w:val="both"/>
        <w:rPr>
          <w:rFonts w:ascii="標楷體" w:eastAsia="標楷體" w:hAnsi="標楷體"/>
          <w:sz w:val="32"/>
          <w:szCs w:val="32"/>
        </w:rPr>
      </w:pPr>
      <w:r w:rsidRPr="00181C57">
        <w:rPr>
          <w:rFonts w:ascii="標楷體" w:eastAsia="標楷體" w:hAnsi="標楷體" w:hint="eastAsia"/>
          <w:spacing w:val="5"/>
          <w:sz w:val="32"/>
          <w:szCs w:val="32"/>
          <w:lang w:eastAsia="zh-HK"/>
        </w:rPr>
        <w:t>有意見指出，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現有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旅檢通道的容量與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分流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設計，難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以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滿足跨境就學、就業、經商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、工作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及長期居琴澳門居民的日常需求，常態化便利措施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存在改善空間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，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尤其在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高</w:t>
      </w:r>
      <w:r w:rsidR="00D834B4" w:rsidRPr="00181C57">
        <w:rPr>
          <w:rFonts w:ascii="標楷體" w:eastAsia="標楷體" w:hAnsi="標楷體" w:hint="eastAsia"/>
          <w:spacing w:val="5"/>
          <w:sz w:val="32"/>
          <w:szCs w:val="32"/>
        </w:rPr>
        <w:t>峰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期人流車流激增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時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，應變機制與配套服務未能同步跟進，影響通關效率與公眾體驗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，需要增加應對協調管理</w:t>
      </w:r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上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的彈性和力度。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此外，</w:t>
      </w:r>
      <w:proofErr w:type="gramEnd"/>
      <w:r w:rsidR="00D73ABE" w:rsidRPr="00181C57">
        <w:rPr>
          <w:rFonts w:ascii="標楷體" w:eastAsia="標楷體" w:hAnsi="標楷體" w:hint="eastAsia"/>
          <w:spacing w:val="5"/>
          <w:sz w:val="32"/>
          <w:szCs w:val="32"/>
        </w:rPr>
        <w:t>在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“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一線放開、二線管住</w:t>
      </w:r>
      <w:r w:rsidRPr="00181C57">
        <w:rPr>
          <w:rFonts w:ascii="標楷體" w:eastAsia="標楷體" w:hAnsi="標楷體" w:hint="eastAsia"/>
          <w:spacing w:val="5"/>
          <w:sz w:val="32"/>
          <w:szCs w:val="32"/>
        </w:rPr>
        <w:t>”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政策下，民生物資、餐飲食材及日常商品的通關便利性仍受監管協同與執行細則制約，有待優化。與會者期望，相關部門持續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完善通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關安排，強化系統規劃與跨部門協作，進一步提升效率，切實落實“便民便商”施政理念，回應社會實際需</w:t>
      </w:r>
      <w:r w:rsidR="00D834B4" w:rsidRPr="00181C57">
        <w:rPr>
          <w:rFonts w:ascii="標楷體" w:eastAsia="標楷體" w:hAnsi="標楷體"/>
          <w:spacing w:val="5"/>
          <w:sz w:val="32"/>
          <w:szCs w:val="32"/>
          <w:lang w:eastAsia="zh-HK"/>
        </w:rPr>
        <w:t>要</w:t>
      </w:r>
      <w:r w:rsidR="00D834B4" w:rsidRPr="00181C57">
        <w:rPr>
          <w:rFonts w:ascii="標楷體" w:eastAsia="標楷體" w:hAnsi="標楷體" w:hint="eastAsia"/>
          <w:spacing w:val="5"/>
          <w:sz w:val="32"/>
          <w:szCs w:val="32"/>
          <w:lang w:eastAsia="zh-HK"/>
        </w:rPr>
        <w:t>。</w:t>
      </w:r>
    </w:p>
    <w:p w14:paraId="516183C1" w14:textId="546BCD46" w:rsidR="00D834B4" w:rsidRPr="00181C57" w:rsidRDefault="001A2EA2" w:rsidP="00D834B4">
      <w:pPr>
        <w:pStyle w:val="Web"/>
        <w:overflowPunct w:val="0"/>
        <w:spacing w:before="0" w:beforeAutospacing="0" w:afterLines="100" w:after="360" w:afterAutospacing="0" w:line="600" w:lineRule="exact"/>
        <w:ind w:firstLineChars="200" w:firstLine="660"/>
        <w:jc w:val="both"/>
        <w:rPr>
          <w:rFonts w:ascii="標楷體" w:eastAsia="標楷體" w:hAnsi="標楷體"/>
          <w:spacing w:val="5"/>
          <w:sz w:val="32"/>
          <w:szCs w:val="32"/>
        </w:rPr>
      </w:pPr>
      <w:r w:rsidRPr="00033113">
        <w:rPr>
          <w:rFonts w:ascii="標楷體" w:eastAsia="標楷體" w:hAnsi="標楷體" w:hint="eastAsia"/>
          <w:spacing w:val="5"/>
          <w:sz w:val="32"/>
          <w:szCs w:val="32"/>
        </w:rPr>
        <w:t>公共行政事務跟進委員會主席馬志成表示，</w:t>
      </w:r>
      <w:r w:rsidR="00FD5B27" w:rsidRPr="00033113">
        <w:rPr>
          <w:rFonts w:ascii="標楷體" w:eastAsia="標楷體" w:hAnsi="標楷體"/>
          <w:spacing w:val="5"/>
          <w:sz w:val="32"/>
          <w:szCs w:val="32"/>
        </w:rPr>
        <w:t>下一階</w:t>
      </w:r>
      <w:r w:rsidR="00FD5B27" w:rsidRPr="00181C57">
        <w:rPr>
          <w:rFonts w:ascii="標楷體" w:eastAsia="標楷體" w:hAnsi="標楷體"/>
          <w:spacing w:val="5"/>
          <w:sz w:val="32"/>
          <w:szCs w:val="32"/>
        </w:rPr>
        <w:t>段</w:t>
      </w:r>
      <w:r w:rsidR="00FD5B27" w:rsidRPr="00181C57">
        <w:rPr>
          <w:rFonts w:ascii="標楷體" w:eastAsia="標楷體" w:hAnsi="標楷體" w:hint="eastAsia"/>
          <w:spacing w:val="5"/>
          <w:sz w:val="32"/>
          <w:szCs w:val="32"/>
        </w:rPr>
        <w:t>，專責小組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將邀請相關職能部門舉行專題會議，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聽取橫琴口岸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便利通關措施的落實成效、執行挑戰及未來規劃。</w:t>
      </w:r>
      <w:r w:rsidR="00FD5B27" w:rsidRPr="00181C57">
        <w:rPr>
          <w:rFonts w:ascii="標楷體" w:eastAsia="標楷體" w:hAnsi="標楷體" w:hint="eastAsia"/>
          <w:spacing w:val="5"/>
          <w:sz w:val="32"/>
          <w:szCs w:val="32"/>
        </w:rPr>
        <w:t>期望</w:t>
      </w:r>
      <w:r w:rsidR="00D834B4" w:rsidRPr="00181C57">
        <w:rPr>
          <w:rFonts w:ascii="標楷體" w:eastAsia="標楷體" w:hAnsi="標楷體"/>
          <w:sz w:val="32"/>
          <w:szCs w:val="32"/>
        </w:rPr>
        <w:t>結合社會意見與實際需求，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與各方共同</w:t>
      </w:r>
      <w:r w:rsidR="00FD5B27" w:rsidRPr="00181C57">
        <w:rPr>
          <w:rFonts w:ascii="標楷體" w:eastAsia="標楷體" w:hAnsi="標楷體" w:hint="eastAsia"/>
          <w:spacing w:val="5"/>
          <w:sz w:val="32"/>
          <w:szCs w:val="32"/>
        </w:rPr>
        <w:t>探討</w:t>
      </w:r>
      <w:r w:rsidR="00D834B4" w:rsidRPr="00181C57">
        <w:rPr>
          <w:rFonts w:ascii="標楷體" w:eastAsia="標楷體" w:hAnsi="標楷體"/>
          <w:spacing w:val="5"/>
          <w:sz w:val="32"/>
          <w:szCs w:val="32"/>
        </w:rPr>
        <w:t>具針對性與可行性的改善方案，務實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推動橫琴口岸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朝“智能化、高效化、人性化”方向發展，助</w:t>
      </w:r>
      <w:proofErr w:type="gramStart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力琴澳一體化</w:t>
      </w:r>
      <w:proofErr w:type="gramEnd"/>
      <w:r w:rsidR="00D834B4" w:rsidRPr="00181C57">
        <w:rPr>
          <w:rFonts w:ascii="標楷體" w:eastAsia="標楷體" w:hAnsi="標楷體"/>
          <w:spacing w:val="5"/>
          <w:sz w:val="32"/>
          <w:szCs w:val="32"/>
        </w:rPr>
        <w:t>高質量推進。</w:t>
      </w:r>
    </w:p>
    <w:p w14:paraId="239A2E32" w14:textId="77777777" w:rsidR="0073050E" w:rsidRPr="00181C57" w:rsidRDefault="0073050E">
      <w:pPr>
        <w:rPr>
          <w:rFonts w:ascii="標楷體" w:eastAsia="標楷體" w:hAnsi="標楷體"/>
          <w:sz w:val="32"/>
          <w:szCs w:val="32"/>
        </w:rPr>
      </w:pPr>
    </w:p>
    <w:sectPr w:rsidR="0073050E" w:rsidRPr="00181C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F60F" w14:textId="77777777" w:rsidR="00907463" w:rsidRDefault="00907463" w:rsidP="006D3501">
      <w:r>
        <w:separator/>
      </w:r>
    </w:p>
  </w:endnote>
  <w:endnote w:type="continuationSeparator" w:id="0">
    <w:p w14:paraId="27A7C128" w14:textId="77777777" w:rsidR="00907463" w:rsidRDefault="00907463" w:rsidP="006D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汉仪楷体KW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90A0" w14:textId="77777777" w:rsidR="00907463" w:rsidRDefault="00907463" w:rsidP="006D3501">
      <w:r>
        <w:separator/>
      </w:r>
    </w:p>
  </w:footnote>
  <w:footnote w:type="continuationSeparator" w:id="0">
    <w:p w14:paraId="5CD4AEA8" w14:textId="77777777" w:rsidR="00907463" w:rsidRDefault="00907463" w:rsidP="006D3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4"/>
    <w:rsid w:val="00027F16"/>
    <w:rsid w:val="00033113"/>
    <w:rsid w:val="00181C57"/>
    <w:rsid w:val="001A2EA2"/>
    <w:rsid w:val="002D5133"/>
    <w:rsid w:val="002E73CF"/>
    <w:rsid w:val="00303C4F"/>
    <w:rsid w:val="004205D7"/>
    <w:rsid w:val="00434439"/>
    <w:rsid w:val="004631F2"/>
    <w:rsid w:val="006D3501"/>
    <w:rsid w:val="0073050E"/>
    <w:rsid w:val="007A0F4A"/>
    <w:rsid w:val="007A68CB"/>
    <w:rsid w:val="00822910"/>
    <w:rsid w:val="00897525"/>
    <w:rsid w:val="009016B5"/>
    <w:rsid w:val="00907463"/>
    <w:rsid w:val="00946143"/>
    <w:rsid w:val="009B2764"/>
    <w:rsid w:val="009C190C"/>
    <w:rsid w:val="00A471AD"/>
    <w:rsid w:val="00A70258"/>
    <w:rsid w:val="00AB7B9E"/>
    <w:rsid w:val="00B43BFE"/>
    <w:rsid w:val="00BB4AE7"/>
    <w:rsid w:val="00D73ABE"/>
    <w:rsid w:val="00D834B4"/>
    <w:rsid w:val="00E149AB"/>
    <w:rsid w:val="00E3648C"/>
    <w:rsid w:val="00EA5A74"/>
    <w:rsid w:val="00FC6BAC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ACDB"/>
  <w15:chartTrackingRefBased/>
  <w15:docId w15:val="{A53D9024-F626-4EB5-8F44-2AAC2A38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B4"/>
    <w:pPr>
      <w:widowControl w:val="0"/>
      <w:adjustRightInd w:val="0"/>
      <w:snapToGrid w:val="0"/>
      <w:spacing w:after="0" w:line="240" w:lineRule="auto"/>
    </w:pPr>
    <w:rPr>
      <w:rFonts w:ascii="Times New Roman" w:eastAsia="細明體_HKSCS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34B4"/>
    <w:pPr>
      <w:keepNext/>
      <w:keepLines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B4"/>
    <w:pPr>
      <w:keepNext/>
      <w:keepLines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4B4"/>
    <w:pPr>
      <w:keepNext/>
      <w:keepLines/>
      <w:adjustRightInd/>
      <w:snapToGrid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4B4"/>
    <w:pPr>
      <w:keepNext/>
      <w:keepLines/>
      <w:adjustRightInd/>
      <w:snapToGrid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4B4"/>
    <w:pPr>
      <w:keepNext/>
      <w:keepLines/>
      <w:adjustRightInd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B4"/>
    <w:pPr>
      <w:keepNext/>
      <w:keepLines/>
      <w:adjustRightInd/>
      <w:snapToGrid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4B4"/>
    <w:pPr>
      <w:keepNext/>
      <w:keepLines/>
      <w:adjustRightInd/>
      <w:snapToGrid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4B4"/>
    <w:pPr>
      <w:keepNext/>
      <w:keepLines/>
      <w:adjustRightInd/>
      <w:snapToGrid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4B4"/>
    <w:pPr>
      <w:keepNext/>
      <w:keepLines/>
      <w:adjustRightInd/>
      <w:snapToGrid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34B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34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34B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34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34B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34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34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34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3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4B4"/>
    <w:pPr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4B4"/>
    <w:pPr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標題 字元"/>
    <w:basedOn w:val="a0"/>
    <w:link w:val="a5"/>
    <w:uiPriority w:val="11"/>
    <w:rsid w:val="00D83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4B4"/>
    <w:pPr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</w:rPr>
  </w:style>
  <w:style w:type="character" w:customStyle="1" w:styleId="a8">
    <w:name w:val="引文 字元"/>
    <w:basedOn w:val="a0"/>
    <w:link w:val="a7"/>
    <w:uiPriority w:val="29"/>
    <w:rsid w:val="00D83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4B4"/>
    <w:pPr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styleId="aa">
    <w:name w:val="Intense Emphasis"/>
    <w:basedOn w:val="a0"/>
    <w:uiPriority w:val="21"/>
    <w:qFormat/>
    <w:rsid w:val="00D834B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4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4"/>
    </w:rPr>
  </w:style>
  <w:style w:type="character" w:customStyle="1" w:styleId="ac">
    <w:name w:val="鮮明引文 字元"/>
    <w:basedOn w:val="a0"/>
    <w:link w:val="ab"/>
    <w:uiPriority w:val="30"/>
    <w:rsid w:val="00D834B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834B4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834B4"/>
    <w:pPr>
      <w:widowControl/>
      <w:adjustRightInd/>
      <w:snapToGrid/>
      <w:spacing w:before="100" w:beforeAutospacing="1" w:after="100" w:afterAutospacing="1"/>
    </w:pPr>
    <w:rPr>
      <w:rFonts w:eastAsia="Times New Roman"/>
      <w:kern w:val="0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6D35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D3501"/>
    <w:rPr>
      <w:rFonts w:ascii="Times New Roman" w:eastAsia="細明體_HKSCS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D35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D3501"/>
    <w:rPr>
      <w:rFonts w:ascii="Times New Roman" w:eastAsia="細明體_HKSCS" w:hAnsi="Times New Roman" w:cs="Times New Roman"/>
      <w:sz w:val="20"/>
      <w:szCs w:val="20"/>
    </w:rPr>
  </w:style>
  <w:style w:type="paragraph" w:styleId="af2">
    <w:name w:val="Revision"/>
    <w:hidden/>
    <w:uiPriority w:val="99"/>
    <w:semiHidden/>
    <w:rsid w:val="00027F16"/>
    <w:pPr>
      <w:spacing w:after="0" w:line="240" w:lineRule="auto"/>
    </w:pPr>
    <w:rPr>
      <w:rFonts w:ascii="Times New Roman" w:eastAsia="細明體_HKSCS" w:hAnsi="Times New Roman" w:cs="Times New Roman"/>
      <w:sz w:val="28"/>
    </w:rPr>
  </w:style>
  <w:style w:type="character" w:styleId="af3">
    <w:name w:val="annotation reference"/>
    <w:basedOn w:val="a0"/>
    <w:uiPriority w:val="99"/>
    <w:semiHidden/>
    <w:unhideWhenUsed/>
    <w:rsid w:val="00027F1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27F16"/>
  </w:style>
  <w:style w:type="character" w:customStyle="1" w:styleId="af5">
    <w:name w:val="註解文字 字元"/>
    <w:basedOn w:val="a0"/>
    <w:link w:val="af4"/>
    <w:uiPriority w:val="99"/>
    <w:semiHidden/>
    <w:rsid w:val="00027F16"/>
    <w:rPr>
      <w:rFonts w:ascii="Times New Roman" w:eastAsia="細明體_HKSCS" w:hAnsi="Times New Roman" w:cs="Times New Roman"/>
      <w:sz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27F16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027F16"/>
    <w:rPr>
      <w:rFonts w:ascii="Times New Roman" w:eastAsia="細明體_HKSCS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iewGallery('gallery-1'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Wei</dc:creator>
  <cp:keywords/>
  <dc:description/>
  <cp:lastModifiedBy>Lei Pou Wa Christine</cp:lastModifiedBy>
  <cp:revision>3</cp:revision>
  <dcterms:created xsi:type="dcterms:W3CDTF">2026-03-13T04:41:00Z</dcterms:created>
  <dcterms:modified xsi:type="dcterms:W3CDTF">2026-03-13T08:48:00Z</dcterms:modified>
</cp:coreProperties>
</file>