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1FB34D" w14:textId="54D0649C" w:rsidR="00C77B31" w:rsidRPr="00977DA2" w:rsidRDefault="00C77B31" w:rsidP="005C4BE3">
      <w:pPr>
        <w:widowControl/>
        <w:overflowPunct w:val="0"/>
        <w:spacing w:beforeLines="50" w:before="180" w:line="500" w:lineRule="exact"/>
        <w:jc w:val="center"/>
        <w:rPr>
          <w:rFonts w:ascii="Times New Roman" w:eastAsia="標楷體" w:hAnsi="Times New Roman" w:cs="Times New Roman"/>
          <w:b/>
          <w:color w:val="000000"/>
          <w:spacing w:val="20"/>
          <w:kern w:val="0"/>
          <w:sz w:val="28"/>
          <w:szCs w:val="28"/>
        </w:rPr>
      </w:pPr>
      <w:r w:rsidRPr="00977DA2">
        <w:rPr>
          <w:rFonts w:ascii="Times New Roman" w:hAnsi="Times New Roman" w:cs="Times New Roman"/>
          <w:b/>
          <w:sz w:val="28"/>
          <w:szCs w:val="28"/>
        </w:rPr>
        <w:t xml:space="preserve">ESTATÍSTICA DA CRIMINALIDADE E DOS TRABALHOS DE EXECUÇÃO DA LEI DO ANO </w:t>
      </w:r>
      <w:r w:rsidR="00742E98" w:rsidRPr="00977DA2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Pr="00977DA2">
        <w:rPr>
          <w:rFonts w:ascii="Times New Roman" w:hAnsi="Times New Roman" w:cs="Times New Roman"/>
          <w:b/>
          <w:sz w:val="28"/>
          <w:szCs w:val="28"/>
        </w:rPr>
        <w:t>2021 EM MACAU</w:t>
      </w:r>
    </w:p>
    <w:p w14:paraId="35CDC882" w14:textId="77777777" w:rsidR="00E456BC" w:rsidRPr="00977DA2" w:rsidRDefault="00E456BC" w:rsidP="006F5835">
      <w:pPr>
        <w:widowControl/>
        <w:tabs>
          <w:tab w:val="left" w:pos="6804"/>
        </w:tabs>
        <w:overflowPunct w:val="0"/>
        <w:spacing w:line="42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</w:rPr>
      </w:pPr>
    </w:p>
    <w:p w14:paraId="4693BD9D" w14:textId="77777777" w:rsidR="00921552" w:rsidRPr="00977DA2" w:rsidRDefault="00921552" w:rsidP="00E456BC">
      <w:pPr>
        <w:widowControl/>
        <w:tabs>
          <w:tab w:val="left" w:pos="6804"/>
        </w:tabs>
        <w:overflowPunct w:val="0"/>
        <w:spacing w:after="240" w:line="420" w:lineRule="exact"/>
        <w:jc w:val="both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b/>
          <w:kern w:val="0"/>
          <w:sz w:val="26"/>
          <w:szCs w:val="26"/>
        </w:rPr>
        <w:t>Caros amigos do sector de comunicação social:</w:t>
      </w:r>
    </w:p>
    <w:p w14:paraId="4E4AC31D" w14:textId="0138EF98" w:rsidR="00140325" w:rsidRPr="00977DA2" w:rsidRDefault="00A8527D" w:rsidP="00E456BC">
      <w:pPr>
        <w:widowControl/>
        <w:tabs>
          <w:tab w:val="left" w:pos="6804"/>
        </w:tabs>
        <w:overflowPunct w:val="0"/>
        <w:spacing w:after="240" w:line="420" w:lineRule="exact"/>
        <w:ind w:firstLineChars="189" w:firstLine="491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t>No passado</w:t>
      </w:r>
      <w:r w:rsidR="009F763D" w:rsidRPr="004D2F52">
        <w:rPr>
          <w:rFonts w:ascii="Times New Roman" w:hAnsi="Times New Roman" w:cs="Times New Roman"/>
          <w:kern w:val="0"/>
          <w:sz w:val="26"/>
          <w:szCs w:val="26"/>
        </w:rPr>
        <w:t xml:space="preserve"> ano </w:t>
      </w:r>
      <w:r w:rsidR="009F763D" w:rsidRPr="00E24B57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9F763D" w:rsidRPr="003B4FF9">
        <w:rPr>
          <w:rFonts w:ascii="Times New Roman" w:hAnsi="Times New Roman" w:cs="Times New Roman"/>
          <w:kern w:val="0"/>
          <w:sz w:val="26"/>
          <w:szCs w:val="26"/>
        </w:rPr>
        <w:t>2021</w:t>
      </w:r>
      <w:r w:rsidR="00342469" w:rsidRPr="00977DA2">
        <w:rPr>
          <w:rFonts w:ascii="Times New Roman" w:hAnsi="Times New Roman" w:cs="Times New Roman"/>
          <w:kern w:val="0"/>
          <w:sz w:val="26"/>
          <w:szCs w:val="26"/>
        </w:rPr>
        <w:t>, Macau foi testado</w:t>
      </w:r>
      <w:r w:rsidR="00693ACE" w:rsidRPr="000A34BE">
        <w:rPr>
          <w:rFonts w:ascii="Times New Roman" w:hAnsi="Times New Roman" w:cs="Times New Roman"/>
          <w:kern w:val="0"/>
          <w:sz w:val="26"/>
          <w:szCs w:val="26"/>
        </w:rPr>
        <w:t>, um após o outro</w:t>
      </w:r>
      <w:r w:rsidR="00693ACE">
        <w:rPr>
          <w:rFonts w:ascii="Times New Roman" w:hAnsi="Times New Roman" w:cs="Times New Roman"/>
          <w:kern w:val="0"/>
          <w:sz w:val="26"/>
          <w:szCs w:val="26"/>
        </w:rPr>
        <w:t>,</w:t>
      </w:r>
      <w:r w:rsidR="00342469" w:rsidRPr="004D2F52">
        <w:rPr>
          <w:rFonts w:ascii="Times New Roman" w:hAnsi="Times New Roman" w:cs="Times New Roman"/>
          <w:kern w:val="0"/>
          <w:sz w:val="26"/>
          <w:szCs w:val="26"/>
        </w:rPr>
        <w:t xml:space="preserve"> pela epidemia e pelos desastres de tufões</w:t>
      </w:r>
      <w:r w:rsidR="00342469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Sob a liderança do Chefe do Executivo, todos os se</w:t>
      </w:r>
      <w:r w:rsidR="006F5835" w:rsidRPr="00977DA2">
        <w:rPr>
          <w:rFonts w:ascii="Times New Roman" w:hAnsi="Times New Roman" w:cs="Times New Roman"/>
          <w:kern w:val="0"/>
          <w:sz w:val="26"/>
          <w:szCs w:val="26"/>
        </w:rPr>
        <w:t>c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tores da sociedade se uniram para superar as dificuldades e reduzir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>efectivamente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os prejuízos causados pelos desastres. A </w:t>
      </w:r>
      <w:r w:rsidR="00592136" w:rsidRPr="00977DA2">
        <w:rPr>
          <w:rFonts w:ascii="Times New Roman" w:hAnsi="Times New Roman" w:cs="Times New Roman"/>
          <w:kern w:val="0"/>
          <w:sz w:val="26"/>
          <w:szCs w:val="26"/>
        </w:rPr>
        <w:t>área da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segurança </w:t>
      </w:r>
      <w:r w:rsidR="009C632A">
        <w:rPr>
          <w:rFonts w:ascii="Times New Roman" w:hAnsi="Times New Roman" w:cs="Times New Roman"/>
          <w:kern w:val="0"/>
          <w:sz w:val="26"/>
          <w:szCs w:val="26"/>
        </w:rPr>
        <w:t>colabora</w:t>
      </w:r>
      <w:r w:rsidR="00656722"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C42FA3" w:rsidRPr="00E24B57">
        <w:rPr>
          <w:rFonts w:ascii="Times New Roman" w:hAnsi="Times New Roman" w:cs="Times New Roman"/>
          <w:kern w:val="0"/>
          <w:sz w:val="26"/>
          <w:szCs w:val="26"/>
        </w:rPr>
        <w:t xml:space="preserve">plenamente </w:t>
      </w:r>
      <w:r w:rsidR="00656722">
        <w:rPr>
          <w:rFonts w:ascii="Times New Roman" w:hAnsi="Times New Roman" w:cs="Times New Roman"/>
          <w:kern w:val="0"/>
          <w:sz w:val="26"/>
          <w:szCs w:val="26"/>
        </w:rPr>
        <w:t>n</w:t>
      </w:r>
      <w:r w:rsidR="00C42FA3" w:rsidRPr="004D2F52">
        <w:rPr>
          <w:rFonts w:ascii="Times New Roman" w:hAnsi="Times New Roman" w:cs="Times New Roman"/>
          <w:kern w:val="0"/>
          <w:sz w:val="26"/>
          <w:szCs w:val="26"/>
        </w:rPr>
        <w:t>os trabalhos do Governo da Região Administrativa Especial de Macau na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prevenç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ão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epidemia e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desastres, bem como está atento às mudanças na situação da segurança em Macau, reforçando o combate a vários tipos de actos ilegais e protegendo a harmonia e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="00C42FA3" w:rsidRPr="00977DA2">
        <w:rPr>
          <w:rFonts w:ascii="Times New Roman" w:hAnsi="Times New Roman" w:cs="Times New Roman"/>
          <w:kern w:val="0"/>
          <w:sz w:val="26"/>
          <w:szCs w:val="26"/>
        </w:rPr>
        <w:t>estabilidade da sociedade.</w:t>
      </w:r>
    </w:p>
    <w:p w14:paraId="654A7067" w14:textId="288A21A7" w:rsidR="0074181F" w:rsidRPr="00977DA2" w:rsidRDefault="00C42FA3" w:rsidP="00E456BC">
      <w:pPr>
        <w:widowControl/>
        <w:tabs>
          <w:tab w:val="left" w:pos="6804"/>
        </w:tabs>
        <w:overflowPunct w:val="0"/>
        <w:spacing w:after="240" w:line="420" w:lineRule="exact"/>
        <w:ind w:firstLineChars="189" w:firstLine="491"/>
        <w:jc w:val="both"/>
        <w:rPr>
          <w:rFonts w:ascii="Times New Roman" w:hAnsi="Times New Roman" w:cs="Times New Roman"/>
          <w:color w:val="0A0A0A"/>
          <w:sz w:val="26"/>
          <w:szCs w:val="26"/>
          <w:shd w:val="clear" w:color="auto" w:fill="FFFFFF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Sob a influência contínua da epidemia, 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>houve mudanças n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 situação d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segurança e 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>n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tipo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crimes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praticados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em Macau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pelo que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>autoridade da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segurança espera que, comparando os dados 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estatísticos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crimes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2021 e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2020, </w:t>
      </w:r>
      <w:r w:rsidR="00370152" w:rsidRPr="00977DA2">
        <w:rPr>
          <w:rFonts w:ascii="Times New Roman" w:hAnsi="Times New Roman" w:cs="Times New Roman"/>
          <w:kern w:val="0"/>
          <w:sz w:val="26"/>
          <w:szCs w:val="26"/>
        </w:rPr>
        <w:t xml:space="preserve">bem como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2021 e 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2019</w:t>
      </w:r>
      <w:r w:rsidR="00601DC7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antes do início da epidemia, </w:t>
      </w:r>
      <w:r w:rsidR="00CC5D4D">
        <w:rPr>
          <w:rFonts w:ascii="Times New Roman" w:hAnsi="Times New Roman" w:cs="Times New Roman"/>
          <w:kern w:val="0"/>
          <w:sz w:val="26"/>
          <w:szCs w:val="26"/>
        </w:rPr>
        <w:t xml:space="preserve">estes </w:t>
      </w:r>
      <w:r w:rsidR="00601DC7" w:rsidRPr="004D2F52">
        <w:rPr>
          <w:rFonts w:ascii="Times New Roman" w:hAnsi="Times New Roman" w:cs="Times New Roman"/>
          <w:kern w:val="0"/>
          <w:sz w:val="26"/>
          <w:szCs w:val="26"/>
        </w:rPr>
        <w:t xml:space="preserve">possam reflectir </w:t>
      </w:r>
      <w:r w:rsidR="009F763D" w:rsidRPr="003B4FF9">
        <w:rPr>
          <w:rFonts w:ascii="Times New Roman" w:hAnsi="Times New Roman" w:cs="Times New Roman"/>
          <w:kern w:val="0"/>
          <w:sz w:val="26"/>
          <w:szCs w:val="26"/>
        </w:rPr>
        <w:t xml:space="preserve">de forma </w:t>
      </w:r>
      <w:r w:rsidR="00601DC7" w:rsidRPr="00977DA2">
        <w:rPr>
          <w:rFonts w:ascii="Times New Roman" w:hAnsi="Times New Roman" w:cs="Times New Roman"/>
          <w:kern w:val="0"/>
          <w:sz w:val="26"/>
          <w:szCs w:val="26"/>
        </w:rPr>
        <w:t>mais objectiva e precisa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as tendências d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mudança d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vários tipos de crime</w:t>
      </w:r>
      <w:r w:rsidR="009F763D" w:rsidRPr="00977DA2">
        <w:rPr>
          <w:rFonts w:ascii="Times New Roman" w:hAnsi="Times New Roman" w:cs="Times New Roman"/>
          <w:kern w:val="0"/>
          <w:sz w:val="26"/>
          <w:szCs w:val="26"/>
        </w:rPr>
        <w:t>s praticados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em Macau.</w:t>
      </w:r>
      <w:r w:rsidR="0074181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seguida, e para referência, expomos os dados estatísticos da criminalidade, bem como os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dados</w:t>
      </w:r>
      <w:r w:rsidR="0074181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relativos à execução da lei: </w:t>
      </w:r>
    </w:p>
    <w:p w14:paraId="4598F4E2" w14:textId="3F21B283" w:rsidR="00AB2FB6" w:rsidRPr="00977DA2" w:rsidRDefault="00AB2FB6" w:rsidP="00815D7C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ano 2021, a Polícia de Macau instaurou um total de 11.376 inquéritos criminais, o que traduz um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 xml:space="preserve">aumento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1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319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casos, relativamente ao ano de 20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20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representando uma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 xml:space="preserve">subida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13</w:t>
      </w:r>
      <w:r w:rsidR="00E456BC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1%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em comparação com o ano 2019 registou-se uma </w:t>
      </w:r>
      <w:r w:rsidR="00E456BC" w:rsidRPr="00977DA2">
        <w:rPr>
          <w:rFonts w:ascii="Times New Roman" w:hAnsi="Times New Roman" w:cs="Times New Roman"/>
          <w:kern w:val="0"/>
          <w:sz w:val="26"/>
          <w:szCs w:val="26"/>
        </w:rPr>
        <w:t xml:space="preserve">redução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de 2.802 casos</w:t>
      </w:r>
      <w:r w:rsidR="00AA2E3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2424F2" w:rsidRPr="00977DA2">
        <w:rPr>
          <w:rFonts w:ascii="Times New Roman" w:hAnsi="Times New Roman" w:cs="Times New Roman"/>
          <w:kern w:val="0"/>
          <w:sz w:val="26"/>
          <w:szCs w:val="26"/>
        </w:rPr>
        <w:t>uma descida de 19,8%</w:t>
      </w:r>
      <w:r w:rsidR="00C9740F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78A24B88" w14:textId="09EAC90A" w:rsidR="00AA2E39" w:rsidRPr="00977DA2" w:rsidRDefault="00723A8E" w:rsidP="00B767BB">
      <w:pPr>
        <w:widowControl/>
        <w:tabs>
          <w:tab w:val="num" w:pos="405"/>
        </w:tabs>
        <w:overflowPunct w:val="0"/>
        <w:spacing w:after="240" w:line="500" w:lineRule="exact"/>
        <w:ind w:left="851" w:hanging="448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1.1. </w:t>
      </w:r>
      <w:r w:rsidR="00AA2E39" w:rsidRPr="00977DA2">
        <w:rPr>
          <w:rFonts w:ascii="Times New Roman" w:hAnsi="Times New Roman" w:cs="Times New Roman"/>
          <w:kern w:val="0"/>
          <w:sz w:val="26"/>
          <w:szCs w:val="26"/>
        </w:rPr>
        <w:t>Foram registados</w:t>
      </w:r>
      <w:r w:rsidR="005654C2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 ano 2021</w:t>
      </w:r>
      <w:r w:rsidR="00AA2E39" w:rsidRPr="00977DA2">
        <w:rPr>
          <w:rFonts w:ascii="Times New Roman" w:hAnsi="Times New Roman" w:cs="Times New Roman"/>
          <w:kern w:val="0"/>
          <w:sz w:val="26"/>
          <w:szCs w:val="26"/>
        </w:rPr>
        <w:t>, no total, 2.318 casos de “crimes contra as pessoas”, uma subida de 216 casos</w:t>
      </w:r>
      <w:r w:rsidR="002F4291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representando um acréscimo </w:t>
      </w:r>
      <w:r w:rsidR="00AA2E39" w:rsidRPr="00977DA2">
        <w:rPr>
          <w:rFonts w:ascii="Times New Roman" w:hAnsi="Times New Roman" w:cs="Times New Roman"/>
          <w:kern w:val="0"/>
          <w:sz w:val="26"/>
          <w:szCs w:val="26"/>
        </w:rPr>
        <w:t>de 10,3%, em comparação com o ano 2020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C94AE5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21424E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comparação </w:t>
      </w:r>
      <w:r w:rsidR="00C94AE5" w:rsidRPr="00977DA2">
        <w:rPr>
          <w:rFonts w:ascii="Times New Roman" w:hAnsi="Times New Roman" w:cs="Times New Roman"/>
          <w:kern w:val="0"/>
          <w:sz w:val="26"/>
          <w:szCs w:val="26"/>
        </w:rPr>
        <w:t>com</w:t>
      </w:r>
      <w:r w:rsidR="00AA2E3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C94AE5" w:rsidRPr="00977DA2">
        <w:rPr>
          <w:rFonts w:ascii="Times New Roman" w:hAnsi="Times New Roman" w:cs="Times New Roman"/>
          <w:kern w:val="0"/>
          <w:sz w:val="26"/>
          <w:szCs w:val="26"/>
        </w:rPr>
        <w:t>o ano 2019 houve uma redução de 162 casos e uma descida de 6,5%</w:t>
      </w:r>
      <w:r w:rsidR="00A519DE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4F5F474C" w14:textId="0F2D0ECB" w:rsidR="004731E3" w:rsidRPr="00977DA2" w:rsidRDefault="00A519DE" w:rsidP="00482C99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>De entre estes, no crime de “</w:t>
      </w:r>
      <w:r w:rsidR="00884A26" w:rsidRPr="00977DA2">
        <w:rPr>
          <w:rFonts w:ascii="Times New Roman" w:hAnsi="Times New Roman" w:cs="Times New Roman"/>
          <w:kern w:val="0"/>
          <w:sz w:val="26"/>
          <w:szCs w:val="26"/>
        </w:rPr>
        <w:t>homicídio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”, regist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</w:t>
      </w:r>
      <w:r w:rsidR="00884A26" w:rsidRPr="00977DA2">
        <w:rPr>
          <w:rFonts w:ascii="Times New Roman" w:hAnsi="Times New Roman" w:cs="Times New Roman"/>
          <w:kern w:val="0"/>
          <w:sz w:val="26"/>
          <w:szCs w:val="26"/>
        </w:rPr>
        <w:t>3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casos, </w:t>
      </w:r>
      <w:r w:rsidR="008B08E6">
        <w:rPr>
          <w:rFonts w:ascii="Times New Roman" w:hAnsi="Times New Roman" w:cs="Times New Roman"/>
          <w:kern w:val="0"/>
          <w:sz w:val="26"/>
          <w:szCs w:val="26"/>
        </w:rPr>
        <w:t>em comparação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 o</w:t>
      </w:r>
      <w:r w:rsidR="0046018F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ano</w:t>
      </w:r>
      <w:r w:rsidR="0046018F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6018F" w:rsidRPr="00977DA2">
        <w:rPr>
          <w:rFonts w:ascii="Times New Roman" w:hAnsi="Times New Roman" w:cs="Times New Roman"/>
          <w:kern w:val="0"/>
          <w:sz w:val="26"/>
          <w:szCs w:val="26"/>
        </w:rPr>
        <w:t>2020 e 2019</w:t>
      </w:r>
      <w:r w:rsidR="008B08E6">
        <w:rPr>
          <w:rFonts w:ascii="Times New Roman" w:hAnsi="Times New Roman" w:cs="Times New Roman"/>
          <w:kern w:val="0"/>
          <w:sz w:val="26"/>
          <w:szCs w:val="26"/>
        </w:rPr>
        <w:t>, foram aumentados um caso em cada ano,</w:t>
      </w:r>
      <w:r w:rsidR="008B08E6" w:rsidRPr="008B08E6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8B08E6" w:rsidRPr="00977DA2">
        <w:rPr>
          <w:rFonts w:ascii="Times New Roman" w:hAnsi="Times New Roman" w:cs="Times New Roman"/>
          <w:kern w:val="0"/>
          <w:sz w:val="26"/>
          <w:szCs w:val="26"/>
        </w:rPr>
        <w:t>representando uma subida de 50%</w:t>
      </w:r>
      <w:r w:rsidR="008B08E6">
        <w:rPr>
          <w:rFonts w:ascii="Times New Roman" w:hAnsi="Times New Roman" w:cs="Times New Roman"/>
          <w:kern w:val="0"/>
          <w:sz w:val="26"/>
          <w:szCs w:val="26"/>
        </w:rPr>
        <w:t>.</w:t>
      </w:r>
      <w:r w:rsidR="004731E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 crime de “violação” foram registados 30 casos, uma subida de 3,4% em comparação com o ano 2020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482C9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</w:t>
      </w:r>
      <w:r w:rsidR="004731E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uma descida de 30,2% em comparação com o ano 2019. No crime de “sequestro”, vulgarmente conhecido por crime de “cárcere privado”, regist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="004731E3" w:rsidRPr="00977DA2">
        <w:rPr>
          <w:rFonts w:ascii="Times New Roman" w:hAnsi="Times New Roman" w:cs="Times New Roman"/>
          <w:kern w:val="0"/>
          <w:sz w:val="26"/>
          <w:szCs w:val="26"/>
        </w:rPr>
        <w:t>-se 34 casos, representando uma redução de 8,1% e 90,4% em comparação com os anos 2020 e 2019, respectivamente. Quanto ao crime de “ofensa simples à integridade física”, regist</w:t>
      </w:r>
      <w:r w:rsidR="00423D50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="004731E3" w:rsidRPr="00977DA2">
        <w:rPr>
          <w:rFonts w:ascii="Times New Roman" w:hAnsi="Times New Roman" w:cs="Times New Roman"/>
          <w:kern w:val="0"/>
          <w:sz w:val="26"/>
          <w:szCs w:val="26"/>
        </w:rPr>
        <w:t>-se 1.202 casos, representando uma redução de 1,1% e 8,2% em comparação com os anos 2020 e 2019, respectivamente.</w:t>
      </w:r>
    </w:p>
    <w:tbl>
      <w:tblPr>
        <w:tblStyle w:val="ab"/>
        <w:tblpPr w:leftFromText="141" w:rightFromText="141" w:vertAnchor="text" w:horzAnchor="margin" w:tblpXSpec="right" w:tblpY="282"/>
        <w:tblW w:w="0" w:type="auto"/>
        <w:tblLook w:val="04A0" w:firstRow="1" w:lastRow="0" w:firstColumn="1" w:lastColumn="0" w:noHBand="0" w:noVBand="1"/>
      </w:tblPr>
      <w:tblGrid>
        <w:gridCol w:w="2144"/>
        <w:gridCol w:w="1765"/>
        <w:gridCol w:w="1765"/>
        <w:gridCol w:w="1765"/>
      </w:tblGrid>
      <w:tr w:rsidR="009A1072" w:rsidRPr="00977DA2" w14:paraId="2FDA6567" w14:textId="77777777" w:rsidTr="009A1072">
        <w:trPr>
          <w:trHeight w:val="239"/>
        </w:trPr>
        <w:tc>
          <w:tcPr>
            <w:tcW w:w="2144" w:type="dxa"/>
            <w:vAlign w:val="center"/>
          </w:tcPr>
          <w:p w14:paraId="0296B4EF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6AA7E84C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 2021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4687A3A6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 2020</w:t>
            </w:r>
          </w:p>
        </w:tc>
        <w:tc>
          <w:tcPr>
            <w:tcW w:w="1765" w:type="dxa"/>
            <w:shd w:val="clear" w:color="auto" w:fill="D9D9D9" w:themeFill="background1" w:themeFillShade="D9"/>
            <w:vAlign w:val="center"/>
          </w:tcPr>
          <w:p w14:paraId="5C9DE155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 2019</w:t>
            </w:r>
          </w:p>
        </w:tc>
      </w:tr>
      <w:tr w:rsidR="009A1072" w:rsidRPr="00977DA2" w14:paraId="5D4C4445" w14:textId="77777777" w:rsidTr="009A1072">
        <w:trPr>
          <w:trHeight w:val="159"/>
        </w:trPr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870ECFE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Homicídio</w:t>
            </w:r>
          </w:p>
        </w:tc>
        <w:tc>
          <w:tcPr>
            <w:tcW w:w="1765" w:type="dxa"/>
            <w:vAlign w:val="center"/>
          </w:tcPr>
          <w:p w14:paraId="4F40BE8A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1765" w:type="dxa"/>
            <w:vAlign w:val="center"/>
          </w:tcPr>
          <w:p w14:paraId="01DA8E0D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1765" w:type="dxa"/>
            <w:vAlign w:val="center"/>
          </w:tcPr>
          <w:p w14:paraId="38883B00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</w:t>
            </w:r>
          </w:p>
        </w:tc>
      </w:tr>
      <w:tr w:rsidR="009A1072" w:rsidRPr="00977DA2" w14:paraId="0E1F9D0A" w14:textId="77777777" w:rsidTr="009A1072">
        <w:trPr>
          <w:trHeight w:val="46"/>
        </w:trPr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51E3F0AB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Violação</w:t>
            </w:r>
          </w:p>
        </w:tc>
        <w:tc>
          <w:tcPr>
            <w:tcW w:w="1765" w:type="dxa"/>
            <w:vAlign w:val="center"/>
          </w:tcPr>
          <w:p w14:paraId="3094B5A6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30</w:t>
            </w:r>
          </w:p>
        </w:tc>
        <w:tc>
          <w:tcPr>
            <w:tcW w:w="1765" w:type="dxa"/>
            <w:vAlign w:val="center"/>
          </w:tcPr>
          <w:p w14:paraId="54097FDD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29</w:t>
            </w:r>
          </w:p>
        </w:tc>
        <w:tc>
          <w:tcPr>
            <w:tcW w:w="1765" w:type="dxa"/>
            <w:vAlign w:val="center"/>
          </w:tcPr>
          <w:p w14:paraId="0B7B23F8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43</w:t>
            </w:r>
          </w:p>
        </w:tc>
      </w:tr>
      <w:tr w:rsidR="009A1072" w:rsidRPr="00977DA2" w14:paraId="00A01462" w14:textId="77777777" w:rsidTr="009A1072">
        <w:trPr>
          <w:trHeight w:val="567"/>
        </w:trPr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DD84818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Sequestro</w:t>
            </w:r>
          </w:p>
        </w:tc>
        <w:tc>
          <w:tcPr>
            <w:tcW w:w="1765" w:type="dxa"/>
            <w:vAlign w:val="center"/>
          </w:tcPr>
          <w:p w14:paraId="1D52BB27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34</w:t>
            </w:r>
          </w:p>
        </w:tc>
        <w:tc>
          <w:tcPr>
            <w:tcW w:w="1765" w:type="dxa"/>
            <w:vAlign w:val="center"/>
          </w:tcPr>
          <w:p w14:paraId="09E29985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37</w:t>
            </w:r>
          </w:p>
        </w:tc>
        <w:tc>
          <w:tcPr>
            <w:tcW w:w="1765" w:type="dxa"/>
            <w:vAlign w:val="center"/>
          </w:tcPr>
          <w:p w14:paraId="55282854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353</w:t>
            </w:r>
          </w:p>
        </w:tc>
      </w:tr>
      <w:tr w:rsidR="009A1072" w:rsidRPr="00977DA2" w14:paraId="394FF27A" w14:textId="77777777" w:rsidTr="009A1072">
        <w:trPr>
          <w:trHeight w:val="46"/>
        </w:trPr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183A9C5E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Ofensa simples à integridade física</w:t>
            </w:r>
          </w:p>
        </w:tc>
        <w:tc>
          <w:tcPr>
            <w:tcW w:w="1765" w:type="dxa"/>
            <w:vAlign w:val="center"/>
          </w:tcPr>
          <w:p w14:paraId="1B8D6E6F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1.202</w:t>
            </w:r>
          </w:p>
        </w:tc>
        <w:tc>
          <w:tcPr>
            <w:tcW w:w="1765" w:type="dxa"/>
            <w:vAlign w:val="center"/>
          </w:tcPr>
          <w:p w14:paraId="1BD264B7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1.215</w:t>
            </w:r>
          </w:p>
        </w:tc>
        <w:tc>
          <w:tcPr>
            <w:tcW w:w="1765" w:type="dxa"/>
            <w:vAlign w:val="center"/>
          </w:tcPr>
          <w:p w14:paraId="716E8E24" w14:textId="77777777" w:rsidR="009A1072" w:rsidRPr="00977DA2" w:rsidRDefault="009A1072" w:rsidP="009A1072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1.309</w:t>
            </w:r>
          </w:p>
        </w:tc>
      </w:tr>
    </w:tbl>
    <w:p w14:paraId="0186C2B5" w14:textId="77777777" w:rsidR="009A1072" w:rsidRPr="00977DA2" w:rsidRDefault="009A1072" w:rsidP="00482C99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29E8595F" w14:textId="77777777" w:rsidR="009A1072" w:rsidRPr="00977DA2" w:rsidRDefault="009A1072" w:rsidP="00482C99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1B94D28" w14:textId="77777777" w:rsidR="009A1072" w:rsidRPr="00977DA2" w:rsidRDefault="009A1072" w:rsidP="00482C99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4CD1CCFD" w14:textId="77777777" w:rsidR="009A1072" w:rsidRPr="00977DA2" w:rsidRDefault="009A1072" w:rsidP="00482C99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2586D8B8" w14:textId="009906D8" w:rsidR="00BF6A36" w:rsidRPr="00977DA2" w:rsidRDefault="00723A8E" w:rsidP="00E2502F">
      <w:pPr>
        <w:widowControl/>
        <w:tabs>
          <w:tab w:val="num" w:pos="405"/>
        </w:tabs>
        <w:overflowPunct w:val="0"/>
        <w:spacing w:after="240" w:line="500" w:lineRule="exact"/>
        <w:ind w:left="851" w:hanging="448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1.2. </w:t>
      </w:r>
      <w:r w:rsidR="00BF6A36" w:rsidRPr="00977DA2">
        <w:rPr>
          <w:rFonts w:ascii="Times New Roman" w:hAnsi="Times New Roman" w:cs="Times New Roman"/>
          <w:kern w:val="0"/>
          <w:sz w:val="26"/>
          <w:szCs w:val="26"/>
        </w:rPr>
        <w:t xml:space="preserve">Foram registados, no total, 5.732 casos de “crime contra </w:t>
      </w:r>
      <w:r w:rsidR="001E7726" w:rsidRPr="00977DA2">
        <w:rPr>
          <w:rFonts w:ascii="Times New Roman" w:hAnsi="Times New Roman" w:cs="Times New Roman"/>
          <w:kern w:val="0"/>
          <w:sz w:val="26"/>
          <w:szCs w:val="26"/>
        </w:rPr>
        <w:t>o património”, representando um</w:t>
      </w:r>
      <w:r w:rsidR="00BF6A36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E7726" w:rsidRPr="00977DA2">
        <w:rPr>
          <w:rFonts w:ascii="Times New Roman" w:hAnsi="Times New Roman" w:cs="Times New Roman"/>
          <w:kern w:val="0"/>
          <w:sz w:val="26"/>
          <w:szCs w:val="26"/>
        </w:rPr>
        <w:t xml:space="preserve">aumento </w:t>
      </w:r>
      <w:r w:rsidR="00BF6A36" w:rsidRPr="00977DA2">
        <w:rPr>
          <w:rFonts w:ascii="Times New Roman" w:hAnsi="Times New Roman" w:cs="Times New Roman"/>
          <w:kern w:val="0"/>
          <w:sz w:val="26"/>
          <w:szCs w:val="26"/>
        </w:rPr>
        <w:t>de 303 casos relativamente a 2020, o que significa uma subida de 5,6%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8A603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E7726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8A6039" w:rsidRPr="00977DA2">
        <w:rPr>
          <w:rFonts w:ascii="Times New Roman" w:hAnsi="Times New Roman" w:cs="Times New Roman"/>
          <w:kern w:val="0"/>
          <w:sz w:val="26"/>
          <w:szCs w:val="26"/>
        </w:rPr>
        <w:t>em comparação com o ano 2019 houve uma redução de 3.107 casos e uma descida de 35,2%</w:t>
      </w:r>
      <w:r w:rsidR="0012493C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6AE64220" w14:textId="18E31EFC" w:rsidR="00E25445" w:rsidRPr="00977DA2" w:rsidRDefault="00B57854" w:rsidP="001E7726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entre estes, foram registados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total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1.307 casos de crime de “burla”</w:t>
      </w:r>
      <w:r w:rsidR="00FB7C32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uma subida de 29,8% em comparação com o ano 2020, </w:t>
      </w:r>
      <w:r w:rsidR="001E7726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em comparação com o ano 2019, houve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uma descida de 14,3%. </w:t>
      </w:r>
      <w:r w:rsidR="001C1F6E" w:rsidRPr="00977DA2">
        <w:rPr>
          <w:rFonts w:ascii="Times New Roman" w:hAnsi="Times New Roman" w:cs="Times New Roman"/>
          <w:kern w:val="0"/>
          <w:sz w:val="26"/>
          <w:szCs w:val="26"/>
        </w:rPr>
        <w:t xml:space="preserve">Quanto ao crime de “roubo” registaram-se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total </w:t>
      </w:r>
      <w:r w:rsidR="001C1F6E" w:rsidRPr="00977DA2">
        <w:rPr>
          <w:rFonts w:ascii="Times New Roman" w:hAnsi="Times New Roman" w:cs="Times New Roman"/>
          <w:kern w:val="0"/>
          <w:sz w:val="26"/>
          <w:szCs w:val="26"/>
        </w:rPr>
        <w:t xml:space="preserve">31 casos, </w:t>
      </w:r>
      <w:r w:rsidR="00FB7C32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uma subida de 19,2% em comparação com o ano 2020, </w:t>
      </w:r>
      <w:r w:rsidR="009F3A3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FB7C32" w:rsidRPr="00977DA2">
        <w:rPr>
          <w:rFonts w:ascii="Times New Roman" w:hAnsi="Times New Roman" w:cs="Times New Roman"/>
          <w:kern w:val="0"/>
          <w:sz w:val="26"/>
          <w:szCs w:val="26"/>
        </w:rPr>
        <w:t>uma descida de 61,3% em comparação com o ano 2019.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Relativamente ao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crime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“usura”, 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vulgarmente conhecidos por “agiotagem”, foram registados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total 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t xml:space="preserve">80 casos, uma subida de 2,6% em comparação com o ano 2020, </w:t>
      </w:r>
      <w:r w:rsidR="009F3A3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C3171E" w:rsidRPr="00977DA2">
        <w:rPr>
          <w:rFonts w:ascii="Times New Roman" w:hAnsi="Times New Roman" w:cs="Times New Roman"/>
          <w:kern w:val="0"/>
          <w:sz w:val="26"/>
          <w:szCs w:val="26"/>
        </w:rPr>
        <w:t>uma descida de 86,8% em comparação com o ano 2019.</w:t>
      </w:r>
      <w:r w:rsidR="00A54C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Quanto ao crime de “apropriação ilegítima”, regist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="00A54C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total </w:t>
      </w:r>
      <w:r w:rsidR="00A54CF9" w:rsidRPr="00977DA2">
        <w:rPr>
          <w:rFonts w:ascii="Times New Roman" w:hAnsi="Times New Roman" w:cs="Times New Roman"/>
          <w:kern w:val="0"/>
          <w:sz w:val="26"/>
          <w:szCs w:val="26"/>
        </w:rPr>
        <w:t>1.557 casos, representando uma redução de 5,5% e 36,6% em comparação com os anos 2020 e 2019, respectivamente.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 Quanto ao crime de “furto”, registou-se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 xml:space="preserve">total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E25445" w:rsidRPr="00977DA2">
        <w:rPr>
          <w:rFonts w:ascii="Times New Roman" w:hAnsi="Times New Roman" w:cs="Times New Roman"/>
          <w:kern w:val="0"/>
          <w:sz w:val="26"/>
          <w:szCs w:val="26"/>
        </w:rPr>
        <w:t>1.244 casos, representando uma redução de 1,5% e 55,1% em comparação com os anos 2020 e 2019, respectivamente.</w:t>
      </w:r>
    </w:p>
    <w:tbl>
      <w:tblPr>
        <w:tblStyle w:val="ab"/>
        <w:tblpPr w:leftFromText="141" w:rightFromText="141" w:vertAnchor="text" w:horzAnchor="margin" w:tblpXSpec="right" w:tblpY="202"/>
        <w:tblW w:w="0" w:type="auto"/>
        <w:tblLook w:val="04A0" w:firstRow="1" w:lastRow="0" w:firstColumn="1" w:lastColumn="0" w:noHBand="0" w:noVBand="1"/>
      </w:tblPr>
      <w:tblGrid>
        <w:gridCol w:w="2002"/>
        <w:gridCol w:w="1812"/>
        <w:gridCol w:w="1812"/>
        <w:gridCol w:w="1813"/>
      </w:tblGrid>
      <w:tr w:rsidR="00450F2B" w:rsidRPr="00977DA2" w14:paraId="2DAD9EF7" w14:textId="77777777" w:rsidTr="00450F2B">
        <w:tc>
          <w:tcPr>
            <w:tcW w:w="2002" w:type="dxa"/>
          </w:tcPr>
          <w:p w14:paraId="4FD8911D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812" w:type="dxa"/>
            <w:shd w:val="clear" w:color="auto" w:fill="D9D9D9" w:themeFill="background1" w:themeFillShade="D9"/>
          </w:tcPr>
          <w:p w14:paraId="4243E1C6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</w:t>
            </w:r>
            <w:r w:rsidRPr="00977DA2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  <w:t xml:space="preserve"> </w:t>
            </w: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2021</w:t>
            </w:r>
          </w:p>
        </w:tc>
        <w:tc>
          <w:tcPr>
            <w:tcW w:w="1812" w:type="dxa"/>
            <w:shd w:val="clear" w:color="auto" w:fill="D9D9D9" w:themeFill="background1" w:themeFillShade="D9"/>
          </w:tcPr>
          <w:p w14:paraId="41393369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</w:t>
            </w:r>
            <w:r w:rsidRPr="00977DA2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  <w:t xml:space="preserve"> </w:t>
            </w: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2020</w:t>
            </w:r>
          </w:p>
        </w:tc>
        <w:tc>
          <w:tcPr>
            <w:tcW w:w="1813" w:type="dxa"/>
            <w:shd w:val="clear" w:color="auto" w:fill="D9D9D9" w:themeFill="background1" w:themeFillShade="D9"/>
          </w:tcPr>
          <w:p w14:paraId="4A760BC0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  <w:lang w:eastAsia="zh-CN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Ano</w:t>
            </w:r>
            <w:r w:rsidRPr="00977DA2"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  <w:t xml:space="preserve"> </w:t>
            </w: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2019</w:t>
            </w:r>
          </w:p>
        </w:tc>
      </w:tr>
      <w:tr w:rsidR="00450F2B" w:rsidRPr="00977DA2" w14:paraId="0FBCCD1D" w14:textId="77777777" w:rsidTr="00450F2B">
        <w:tc>
          <w:tcPr>
            <w:tcW w:w="2002" w:type="dxa"/>
            <w:shd w:val="clear" w:color="auto" w:fill="D9D9D9" w:themeFill="background1" w:themeFillShade="D9"/>
          </w:tcPr>
          <w:p w14:paraId="78B837E1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Burla</w:t>
            </w:r>
          </w:p>
        </w:tc>
        <w:tc>
          <w:tcPr>
            <w:tcW w:w="1812" w:type="dxa"/>
          </w:tcPr>
          <w:p w14:paraId="4E449DE3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1.307</w:t>
            </w:r>
          </w:p>
        </w:tc>
        <w:tc>
          <w:tcPr>
            <w:tcW w:w="1812" w:type="dxa"/>
          </w:tcPr>
          <w:p w14:paraId="3969DDB7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1.007</w:t>
            </w:r>
          </w:p>
        </w:tc>
        <w:tc>
          <w:tcPr>
            <w:tcW w:w="1813" w:type="dxa"/>
          </w:tcPr>
          <w:p w14:paraId="2D6B7D90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1.525</w:t>
            </w:r>
          </w:p>
        </w:tc>
      </w:tr>
      <w:tr w:rsidR="00450F2B" w:rsidRPr="00977DA2" w14:paraId="5B2AC2A5" w14:textId="77777777" w:rsidTr="00450F2B">
        <w:tc>
          <w:tcPr>
            <w:tcW w:w="2002" w:type="dxa"/>
            <w:shd w:val="clear" w:color="auto" w:fill="D9D9D9" w:themeFill="background1" w:themeFillShade="D9"/>
          </w:tcPr>
          <w:p w14:paraId="5915962B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Roubo</w:t>
            </w:r>
          </w:p>
        </w:tc>
        <w:tc>
          <w:tcPr>
            <w:tcW w:w="1812" w:type="dxa"/>
          </w:tcPr>
          <w:p w14:paraId="2C2ED826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31</w:t>
            </w:r>
          </w:p>
        </w:tc>
        <w:tc>
          <w:tcPr>
            <w:tcW w:w="1812" w:type="dxa"/>
          </w:tcPr>
          <w:p w14:paraId="1C26EC32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26</w:t>
            </w:r>
          </w:p>
        </w:tc>
        <w:tc>
          <w:tcPr>
            <w:tcW w:w="1813" w:type="dxa"/>
          </w:tcPr>
          <w:p w14:paraId="1C3FEB18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80</w:t>
            </w:r>
          </w:p>
        </w:tc>
      </w:tr>
      <w:tr w:rsidR="00450F2B" w:rsidRPr="00977DA2" w14:paraId="2C9BD7F5" w14:textId="77777777" w:rsidTr="00450F2B">
        <w:tc>
          <w:tcPr>
            <w:tcW w:w="2002" w:type="dxa"/>
            <w:shd w:val="clear" w:color="auto" w:fill="D9D9D9" w:themeFill="background1" w:themeFillShade="D9"/>
          </w:tcPr>
          <w:p w14:paraId="127A265C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Usura</w:t>
            </w:r>
          </w:p>
        </w:tc>
        <w:tc>
          <w:tcPr>
            <w:tcW w:w="1812" w:type="dxa"/>
          </w:tcPr>
          <w:p w14:paraId="731E58E8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80</w:t>
            </w:r>
          </w:p>
        </w:tc>
        <w:tc>
          <w:tcPr>
            <w:tcW w:w="1812" w:type="dxa"/>
          </w:tcPr>
          <w:p w14:paraId="6E45B30A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78</w:t>
            </w:r>
          </w:p>
        </w:tc>
        <w:tc>
          <w:tcPr>
            <w:tcW w:w="1813" w:type="dxa"/>
          </w:tcPr>
          <w:p w14:paraId="02F28318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605</w:t>
            </w:r>
          </w:p>
        </w:tc>
      </w:tr>
      <w:tr w:rsidR="00450F2B" w:rsidRPr="00977DA2" w14:paraId="27A7D05C" w14:textId="77777777" w:rsidTr="00450F2B">
        <w:trPr>
          <w:trHeight w:val="46"/>
        </w:trPr>
        <w:tc>
          <w:tcPr>
            <w:tcW w:w="2002" w:type="dxa"/>
            <w:shd w:val="clear" w:color="auto" w:fill="D9D9D9" w:themeFill="background1" w:themeFillShade="D9"/>
          </w:tcPr>
          <w:p w14:paraId="71B89A3C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Apropriação ilegítima</w:t>
            </w:r>
          </w:p>
        </w:tc>
        <w:tc>
          <w:tcPr>
            <w:tcW w:w="1812" w:type="dxa"/>
            <w:vAlign w:val="center"/>
          </w:tcPr>
          <w:p w14:paraId="5201E489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1.557</w:t>
            </w:r>
          </w:p>
        </w:tc>
        <w:tc>
          <w:tcPr>
            <w:tcW w:w="1812" w:type="dxa"/>
            <w:vAlign w:val="center"/>
          </w:tcPr>
          <w:p w14:paraId="2DA9359C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1.648</w:t>
            </w:r>
          </w:p>
        </w:tc>
        <w:tc>
          <w:tcPr>
            <w:tcW w:w="1813" w:type="dxa"/>
            <w:vAlign w:val="center"/>
          </w:tcPr>
          <w:p w14:paraId="4F7A7358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2.456</w:t>
            </w:r>
          </w:p>
        </w:tc>
      </w:tr>
      <w:tr w:rsidR="00450F2B" w:rsidRPr="00977DA2" w14:paraId="08A3213F" w14:textId="77777777" w:rsidTr="00450F2B">
        <w:tc>
          <w:tcPr>
            <w:tcW w:w="2002" w:type="dxa"/>
            <w:shd w:val="clear" w:color="auto" w:fill="D9D9D9" w:themeFill="background1" w:themeFillShade="D9"/>
          </w:tcPr>
          <w:p w14:paraId="6BF127A5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Furto</w:t>
            </w:r>
          </w:p>
        </w:tc>
        <w:tc>
          <w:tcPr>
            <w:tcW w:w="1812" w:type="dxa"/>
          </w:tcPr>
          <w:p w14:paraId="1D8AD70F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1.244</w:t>
            </w:r>
          </w:p>
        </w:tc>
        <w:tc>
          <w:tcPr>
            <w:tcW w:w="1812" w:type="dxa"/>
          </w:tcPr>
          <w:p w14:paraId="72692680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1.263</w:t>
            </w:r>
          </w:p>
        </w:tc>
        <w:tc>
          <w:tcPr>
            <w:tcW w:w="1813" w:type="dxa"/>
          </w:tcPr>
          <w:p w14:paraId="46F6E45A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2.773</w:t>
            </w:r>
          </w:p>
        </w:tc>
      </w:tr>
    </w:tbl>
    <w:p w14:paraId="4DE989CA" w14:textId="77777777" w:rsidR="00450F2B" w:rsidRPr="00977DA2" w:rsidRDefault="00450F2B" w:rsidP="001E7726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357F47C" w14:textId="77777777" w:rsidR="00450F2B" w:rsidRPr="00977DA2" w:rsidRDefault="00450F2B" w:rsidP="001E7726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304AF451" w14:textId="77777777" w:rsidR="00450F2B" w:rsidRPr="00977DA2" w:rsidRDefault="00450F2B" w:rsidP="001E7726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468B94E7" w14:textId="77777777" w:rsidR="00450F2B" w:rsidRPr="00977DA2" w:rsidRDefault="00450F2B" w:rsidP="001E7726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D74770D" w14:textId="5C285DBC" w:rsidR="007C1EEB" w:rsidRPr="00977DA2" w:rsidRDefault="00723A8E" w:rsidP="00E2502F">
      <w:pPr>
        <w:widowControl/>
        <w:tabs>
          <w:tab w:val="num" w:pos="405"/>
        </w:tabs>
        <w:overflowPunct w:val="0"/>
        <w:spacing w:after="240" w:line="500" w:lineRule="exact"/>
        <w:ind w:left="851" w:hanging="448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1.3. 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>Relativamente aos “crimes contra a vida em sociedade”, registaram-se 6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 xml:space="preserve">44 casos, </w:t>
      </w:r>
      <w:r w:rsidR="004D2F5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="00FE085A" w:rsidRPr="004D2F52">
        <w:rPr>
          <w:rFonts w:ascii="Times New Roman" w:hAnsi="Times New Roman" w:cs="Times New Roman"/>
          <w:kern w:val="0"/>
          <w:sz w:val="26"/>
          <w:szCs w:val="26"/>
        </w:rPr>
        <w:t>um</w:t>
      </w:r>
      <w:r w:rsidR="007C1EEB" w:rsidRPr="00E24B57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E085A" w:rsidRPr="003B4FF9">
        <w:rPr>
          <w:rFonts w:ascii="Times New Roman" w:hAnsi="Times New Roman" w:cs="Times New Roman"/>
          <w:kern w:val="0"/>
          <w:sz w:val="26"/>
          <w:szCs w:val="26"/>
        </w:rPr>
        <w:t xml:space="preserve">aumento 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>43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 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uma subida de 7,2%, 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comparação com o ano 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>2020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55BC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comparação com o ano 2019, houve uma redução 314 casos, </w:t>
      </w:r>
      <w:r w:rsidR="00097D96" w:rsidRPr="00977DA2">
        <w:rPr>
          <w:rFonts w:ascii="Times New Roman" w:hAnsi="Times New Roman" w:cs="Times New Roman"/>
          <w:kern w:val="0"/>
          <w:sz w:val="26"/>
          <w:szCs w:val="26"/>
        </w:rPr>
        <w:t>ou seja,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uma 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>descida de 3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>2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FE085A" w:rsidRPr="00977DA2">
        <w:rPr>
          <w:rFonts w:ascii="Times New Roman" w:hAnsi="Times New Roman" w:cs="Times New Roman"/>
          <w:kern w:val="0"/>
          <w:sz w:val="26"/>
          <w:szCs w:val="26"/>
        </w:rPr>
        <w:t>8</w:t>
      </w:r>
      <w:r w:rsidR="007C1EEB" w:rsidRPr="00977DA2">
        <w:rPr>
          <w:rFonts w:ascii="Times New Roman" w:hAnsi="Times New Roman" w:cs="Times New Roman"/>
          <w:kern w:val="0"/>
          <w:sz w:val="26"/>
          <w:szCs w:val="26"/>
        </w:rPr>
        <w:t>%.</w:t>
      </w:r>
    </w:p>
    <w:p w14:paraId="584833BE" w14:textId="1A17E83C" w:rsidR="004B2FCA" w:rsidRPr="00977DA2" w:rsidRDefault="004B2FCA" w:rsidP="00E2502F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entre estes,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quanto ao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crime de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“falsificação de documento”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regist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417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casos, representando uma subida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 xml:space="preserve"> de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40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9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%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em comparação com o ano 2020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2028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em comparação com o ano 2019 registou-se uma descida de 9,7%. No crime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“fogo posto”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regist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-se 51 casos, representando uma subida de 10,9% em comparação com o ano 2020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2028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em comparação com o ano 2019 registou-se uma descida de 10,5%. Relativamente ao crime d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e “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uso do documento de identificação de outrem” registou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total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25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casos, 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decréscimo de </w:t>
      </w:r>
      <w:r w:rsidR="0097680F" w:rsidRPr="00977DA2">
        <w:rPr>
          <w:rFonts w:ascii="Times New Roman" w:hAnsi="Times New Roman" w:cs="Times New Roman"/>
          <w:kern w:val="0"/>
          <w:sz w:val="26"/>
          <w:szCs w:val="26"/>
        </w:rPr>
        <w:t>67,1% e 54,5%, em comparação com os anos de 2020 e 2019, respectivamente</w:t>
      </w:r>
      <w:r w:rsidR="00BE327D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tbl>
      <w:tblPr>
        <w:tblStyle w:val="ab"/>
        <w:tblpPr w:leftFromText="141" w:rightFromText="141" w:vertAnchor="text" w:horzAnchor="margin" w:tblpXSpec="right" w:tblpY="232"/>
        <w:tblW w:w="7439" w:type="dxa"/>
        <w:tblLayout w:type="fixed"/>
        <w:tblLook w:val="04A0" w:firstRow="1" w:lastRow="0" w:firstColumn="1" w:lastColumn="0" w:noHBand="0" w:noVBand="1"/>
      </w:tblPr>
      <w:tblGrid>
        <w:gridCol w:w="2286"/>
        <w:gridCol w:w="1701"/>
        <w:gridCol w:w="1842"/>
        <w:gridCol w:w="1610"/>
      </w:tblGrid>
      <w:tr w:rsidR="00450F2B" w:rsidRPr="00977DA2" w14:paraId="06E9669A" w14:textId="77777777" w:rsidTr="00450F2B">
        <w:tc>
          <w:tcPr>
            <w:tcW w:w="2286" w:type="dxa"/>
            <w:vAlign w:val="center"/>
          </w:tcPr>
          <w:p w14:paraId="7C471F2B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F83B772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2021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B216FF4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2020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1CD08775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2019</w:t>
            </w:r>
          </w:p>
        </w:tc>
      </w:tr>
      <w:tr w:rsidR="00450F2B" w:rsidRPr="00977DA2" w14:paraId="659F49F7" w14:textId="77777777" w:rsidTr="00450F2B"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4311E648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Falsificação de documento</w:t>
            </w:r>
          </w:p>
        </w:tc>
        <w:tc>
          <w:tcPr>
            <w:tcW w:w="1701" w:type="dxa"/>
            <w:vAlign w:val="center"/>
          </w:tcPr>
          <w:p w14:paraId="20BC24CF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417</w:t>
            </w:r>
          </w:p>
        </w:tc>
        <w:tc>
          <w:tcPr>
            <w:tcW w:w="1842" w:type="dxa"/>
            <w:vAlign w:val="center"/>
          </w:tcPr>
          <w:p w14:paraId="6CDCEC11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296</w:t>
            </w:r>
          </w:p>
        </w:tc>
        <w:tc>
          <w:tcPr>
            <w:tcW w:w="1610" w:type="dxa"/>
            <w:vAlign w:val="center"/>
          </w:tcPr>
          <w:p w14:paraId="72594454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462</w:t>
            </w:r>
          </w:p>
        </w:tc>
      </w:tr>
      <w:tr w:rsidR="00450F2B" w:rsidRPr="00977DA2" w14:paraId="20657BA8" w14:textId="77777777" w:rsidTr="00450F2B"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2AE587E3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Fogo posto</w:t>
            </w:r>
          </w:p>
        </w:tc>
        <w:tc>
          <w:tcPr>
            <w:tcW w:w="1701" w:type="dxa"/>
            <w:vAlign w:val="center"/>
          </w:tcPr>
          <w:p w14:paraId="429ACC4F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51</w:t>
            </w:r>
          </w:p>
        </w:tc>
        <w:tc>
          <w:tcPr>
            <w:tcW w:w="1842" w:type="dxa"/>
            <w:vAlign w:val="center"/>
          </w:tcPr>
          <w:p w14:paraId="479CB90F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46</w:t>
            </w:r>
          </w:p>
        </w:tc>
        <w:tc>
          <w:tcPr>
            <w:tcW w:w="1610" w:type="dxa"/>
            <w:vAlign w:val="center"/>
          </w:tcPr>
          <w:p w14:paraId="62743D6D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57</w:t>
            </w:r>
          </w:p>
        </w:tc>
      </w:tr>
      <w:tr w:rsidR="00450F2B" w:rsidRPr="00977DA2" w14:paraId="2E46549D" w14:textId="77777777" w:rsidTr="00450F2B">
        <w:tc>
          <w:tcPr>
            <w:tcW w:w="2286" w:type="dxa"/>
            <w:shd w:val="clear" w:color="auto" w:fill="D9D9D9" w:themeFill="background1" w:themeFillShade="D9"/>
            <w:vAlign w:val="center"/>
          </w:tcPr>
          <w:p w14:paraId="70459593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Uso do documento de identificação de outrem</w:t>
            </w:r>
          </w:p>
        </w:tc>
        <w:tc>
          <w:tcPr>
            <w:tcW w:w="1701" w:type="dxa"/>
            <w:vAlign w:val="center"/>
          </w:tcPr>
          <w:p w14:paraId="3888156C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25</w:t>
            </w:r>
          </w:p>
        </w:tc>
        <w:tc>
          <w:tcPr>
            <w:tcW w:w="1842" w:type="dxa"/>
            <w:vAlign w:val="center"/>
          </w:tcPr>
          <w:p w14:paraId="57AAB529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76</w:t>
            </w:r>
          </w:p>
        </w:tc>
        <w:tc>
          <w:tcPr>
            <w:tcW w:w="1610" w:type="dxa"/>
            <w:vAlign w:val="center"/>
          </w:tcPr>
          <w:p w14:paraId="4AF4D96F" w14:textId="77777777" w:rsidR="00450F2B" w:rsidRPr="00977DA2" w:rsidRDefault="00450F2B" w:rsidP="00450F2B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55</w:t>
            </w:r>
          </w:p>
        </w:tc>
      </w:tr>
    </w:tbl>
    <w:p w14:paraId="7D4F2912" w14:textId="77777777" w:rsidR="00450F2B" w:rsidRPr="00977DA2" w:rsidRDefault="00450F2B" w:rsidP="00E2502F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0E79B69" w14:textId="77777777" w:rsidR="00450F2B" w:rsidRPr="00977DA2" w:rsidRDefault="00450F2B" w:rsidP="00E2502F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3041FF5C" w14:textId="77777777" w:rsidR="00450F2B" w:rsidRPr="00977DA2" w:rsidRDefault="00450F2B" w:rsidP="00E2502F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6EEE3BB2" w14:textId="77777777" w:rsidR="00450F2B" w:rsidRPr="00977DA2" w:rsidRDefault="00450F2B" w:rsidP="00E2502F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333CC581" w14:textId="5CFFDEC7" w:rsidR="00430462" w:rsidRPr="00977DA2" w:rsidRDefault="00723A8E" w:rsidP="00C07E07">
      <w:pPr>
        <w:widowControl/>
        <w:tabs>
          <w:tab w:val="num" w:pos="405"/>
        </w:tabs>
        <w:overflowPunct w:val="0"/>
        <w:spacing w:after="240" w:line="500" w:lineRule="exact"/>
        <w:ind w:left="851" w:hanging="448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1.4. 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>Quanto ao grupo dos “crimes contra o território” fo</w:t>
      </w:r>
      <w:r w:rsidR="00450F2B" w:rsidRPr="00977DA2">
        <w:rPr>
          <w:rFonts w:ascii="Times New Roman" w:hAnsi="Times New Roman" w:cs="Times New Roman"/>
          <w:kern w:val="0"/>
          <w:sz w:val="26"/>
          <w:szCs w:val="26"/>
        </w:rPr>
        <w:t>i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 xml:space="preserve"> registado no ano de 2021 um total de 599 casos, um aumento de 130 </w:t>
      </w:r>
      <w:r w:rsidR="00C40532" w:rsidRPr="00977DA2">
        <w:rPr>
          <w:rFonts w:ascii="Times New Roman" w:hAnsi="Times New Roman" w:cs="Times New Roman"/>
          <w:kern w:val="0"/>
          <w:sz w:val="26"/>
          <w:szCs w:val="26"/>
        </w:rPr>
        <w:t xml:space="preserve">casos, 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>comparativamente ao ano de 2020, significando uma subida de 27,7%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9428B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comparação com o ano 2019 houve uma redução </w:t>
      </w:r>
      <w:r w:rsidR="009428B9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 xml:space="preserve">156 casos, </w:t>
      </w:r>
      <w:r w:rsidR="00097D96" w:rsidRPr="00977DA2">
        <w:rPr>
          <w:rFonts w:ascii="Times New Roman" w:hAnsi="Times New Roman" w:cs="Times New Roman"/>
          <w:kern w:val="0"/>
          <w:sz w:val="26"/>
          <w:szCs w:val="26"/>
        </w:rPr>
        <w:t>ou seja,</w:t>
      </w:r>
      <w:r w:rsidR="00430462"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uma descida de 20,7%.</w:t>
      </w:r>
    </w:p>
    <w:tbl>
      <w:tblPr>
        <w:tblStyle w:val="ab"/>
        <w:tblpPr w:leftFromText="141" w:rightFromText="141" w:vertAnchor="text" w:horzAnchor="margin" w:tblpXSpec="right" w:tblpY="3263"/>
        <w:tblW w:w="7439" w:type="dxa"/>
        <w:tblLook w:val="04A0" w:firstRow="1" w:lastRow="0" w:firstColumn="1" w:lastColumn="0" w:noHBand="0" w:noVBand="1"/>
      </w:tblPr>
      <w:tblGrid>
        <w:gridCol w:w="1860"/>
        <w:gridCol w:w="1859"/>
        <w:gridCol w:w="1860"/>
        <w:gridCol w:w="1860"/>
      </w:tblGrid>
      <w:tr w:rsidR="008A43DC" w:rsidRPr="00977DA2" w14:paraId="073439D2" w14:textId="77777777" w:rsidTr="008A43DC">
        <w:tc>
          <w:tcPr>
            <w:tcW w:w="1860" w:type="dxa"/>
          </w:tcPr>
          <w:p w14:paraId="5F37CFD6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859" w:type="dxa"/>
            <w:shd w:val="clear" w:color="auto" w:fill="D9D9D9" w:themeFill="background1" w:themeFillShade="D9"/>
          </w:tcPr>
          <w:p w14:paraId="7B2D1DAE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2021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0CD88D5B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2020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14:paraId="6AB39A52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2019</w:t>
            </w:r>
          </w:p>
        </w:tc>
      </w:tr>
      <w:tr w:rsidR="008A43DC" w:rsidRPr="00977DA2" w14:paraId="75D472DD" w14:textId="77777777" w:rsidTr="008A43DC">
        <w:tc>
          <w:tcPr>
            <w:tcW w:w="1860" w:type="dxa"/>
            <w:shd w:val="clear" w:color="auto" w:fill="D9D9D9" w:themeFill="background1" w:themeFillShade="D9"/>
          </w:tcPr>
          <w:p w14:paraId="799AF4B1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Desobediência</w:t>
            </w:r>
          </w:p>
        </w:tc>
        <w:tc>
          <w:tcPr>
            <w:tcW w:w="1859" w:type="dxa"/>
          </w:tcPr>
          <w:p w14:paraId="48AA2E79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391</w:t>
            </w:r>
          </w:p>
        </w:tc>
        <w:tc>
          <w:tcPr>
            <w:tcW w:w="1860" w:type="dxa"/>
          </w:tcPr>
          <w:p w14:paraId="43C5C1AE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309</w:t>
            </w:r>
          </w:p>
        </w:tc>
        <w:tc>
          <w:tcPr>
            <w:tcW w:w="1860" w:type="dxa"/>
          </w:tcPr>
          <w:p w14:paraId="14A4155E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478</w:t>
            </w:r>
          </w:p>
        </w:tc>
      </w:tr>
      <w:tr w:rsidR="008A43DC" w:rsidRPr="00977DA2" w14:paraId="144754BB" w14:textId="77777777" w:rsidTr="008A43DC">
        <w:tc>
          <w:tcPr>
            <w:tcW w:w="1860" w:type="dxa"/>
            <w:shd w:val="clear" w:color="auto" w:fill="D9D9D9" w:themeFill="background1" w:themeFillShade="D9"/>
          </w:tcPr>
          <w:p w14:paraId="72477F91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Falsidade de declaração</w:t>
            </w:r>
          </w:p>
        </w:tc>
        <w:tc>
          <w:tcPr>
            <w:tcW w:w="1859" w:type="dxa"/>
          </w:tcPr>
          <w:p w14:paraId="3BF5E479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110</w:t>
            </w:r>
          </w:p>
        </w:tc>
        <w:tc>
          <w:tcPr>
            <w:tcW w:w="1860" w:type="dxa"/>
          </w:tcPr>
          <w:p w14:paraId="634AC71A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105</w:t>
            </w:r>
          </w:p>
        </w:tc>
        <w:tc>
          <w:tcPr>
            <w:tcW w:w="1860" w:type="dxa"/>
          </w:tcPr>
          <w:p w14:paraId="46C525C8" w14:textId="77777777" w:rsidR="008A43DC" w:rsidRPr="00977DA2" w:rsidRDefault="008A43DC" w:rsidP="008A43DC">
            <w:pPr>
              <w:widowControl/>
              <w:tabs>
                <w:tab w:val="num" w:pos="405"/>
              </w:tabs>
              <w:overflowPunct w:val="0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199</w:t>
            </w:r>
          </w:p>
        </w:tc>
      </w:tr>
    </w:tbl>
    <w:p w14:paraId="40570E62" w14:textId="0D5938FF" w:rsidR="00FE7A8F" w:rsidRPr="00977DA2" w:rsidRDefault="009A1072" w:rsidP="00C07E07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Relativamente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 ao 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“crime de desobediência”, 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registaram-se 391 casos, 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significando um aumento de 26,5%, comparativamente </w:t>
      </w:r>
      <w:r w:rsidR="003B7E5D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>o ano 2020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B517D0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comparação com o ano 2019, houve uma redução de 18,2%. 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>“crime de fal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>sidade de declaração” registaram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>110</w:t>
      </w:r>
      <w:r w:rsidR="00FE7A8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casos, uma 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>subida de 4,8%, comparativamente com o ano 2020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B517D0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uma redução de 44,7%, </w:t>
      </w:r>
      <w:r w:rsidR="00FC4379" w:rsidRPr="00977DA2">
        <w:rPr>
          <w:rFonts w:ascii="Times New Roman" w:hAnsi="Times New Roman" w:cs="Times New Roman"/>
          <w:kern w:val="0"/>
          <w:sz w:val="26"/>
          <w:szCs w:val="26"/>
        </w:rPr>
        <w:t>em comparação com o ano 2019.</w:t>
      </w:r>
    </w:p>
    <w:p w14:paraId="24F4AABC" w14:textId="77777777" w:rsidR="005F44D6" w:rsidRPr="00977DA2" w:rsidRDefault="005F44D6" w:rsidP="00C07E07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946B87A" w14:textId="77777777" w:rsidR="005F44D6" w:rsidRPr="00977DA2" w:rsidRDefault="005F44D6" w:rsidP="00C07E07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091FF36B" w14:textId="77777777" w:rsidR="005F44D6" w:rsidRPr="00977DA2" w:rsidRDefault="005F44D6" w:rsidP="00C07E07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44582F9D" w14:textId="4414EC96" w:rsidR="00DE63EE" w:rsidRPr="00977DA2" w:rsidRDefault="001C32AD" w:rsidP="001C32AD">
      <w:pPr>
        <w:widowControl/>
        <w:tabs>
          <w:tab w:val="num" w:pos="405"/>
        </w:tabs>
        <w:overflowPunct w:val="0"/>
        <w:spacing w:after="240" w:line="500" w:lineRule="exact"/>
        <w:ind w:left="851" w:hanging="448"/>
        <w:jc w:val="both"/>
        <w:rPr>
          <w:rFonts w:ascii="Times New Roman" w:eastAsia="SimSun" w:hAnsi="Times New Roman" w:cs="Times New Roman"/>
          <w:spacing w:val="20"/>
          <w:kern w:val="0"/>
          <w:sz w:val="28"/>
          <w:szCs w:val="28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1.5</w:t>
      </w:r>
      <w:r w:rsidR="005F44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 xml:space="preserve">Registou-se um total de </w:t>
      </w:r>
      <w:r w:rsidR="001F3259" w:rsidRPr="00977DA2">
        <w:rPr>
          <w:rFonts w:ascii="Times New Roman" w:hAnsi="Times New Roman" w:cs="Times New Roman"/>
          <w:kern w:val="0"/>
          <w:sz w:val="26"/>
          <w:szCs w:val="26"/>
        </w:rPr>
        <w:t>2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  <w:r w:rsidR="001F3259" w:rsidRPr="00977DA2">
        <w:rPr>
          <w:rFonts w:ascii="Times New Roman" w:hAnsi="Times New Roman" w:cs="Times New Roman"/>
          <w:kern w:val="0"/>
          <w:sz w:val="26"/>
          <w:szCs w:val="26"/>
        </w:rPr>
        <w:t>083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 de “crimes não classificados noutros grupos” (Legislação Penal Avulsa), significando uma subida de </w:t>
      </w:r>
      <w:r w:rsidR="001F3259" w:rsidRPr="00977DA2">
        <w:rPr>
          <w:rFonts w:ascii="Times New Roman" w:hAnsi="Times New Roman" w:cs="Times New Roman"/>
          <w:kern w:val="0"/>
          <w:sz w:val="26"/>
          <w:szCs w:val="26"/>
        </w:rPr>
        <w:t>627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 em comparação com o ano </w:t>
      </w:r>
      <w:r w:rsidR="001F3259" w:rsidRPr="00977DA2">
        <w:rPr>
          <w:rFonts w:ascii="Times New Roman" w:hAnsi="Times New Roman" w:cs="Times New Roman"/>
          <w:kern w:val="0"/>
          <w:sz w:val="26"/>
          <w:szCs w:val="26"/>
        </w:rPr>
        <w:t>2020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representando um 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aumento de </w:t>
      </w:r>
      <w:r w:rsidR="003B1471" w:rsidRPr="00977DA2">
        <w:rPr>
          <w:rFonts w:ascii="Times New Roman" w:hAnsi="Times New Roman" w:cs="Times New Roman"/>
          <w:kern w:val="0"/>
          <w:sz w:val="26"/>
          <w:szCs w:val="26"/>
        </w:rPr>
        <w:t>43</w:t>
      </w:r>
      <w:r w:rsidR="00DE63EE" w:rsidRPr="00977DA2">
        <w:rPr>
          <w:rFonts w:ascii="Times New Roman" w:hAnsi="Times New Roman" w:cs="Times New Roman"/>
          <w:kern w:val="0"/>
          <w:sz w:val="26"/>
          <w:szCs w:val="26"/>
        </w:rPr>
        <w:t>,1%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3B1471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em comparação com o ano 2019 houve uma subida de 937 casos, representando um aumento de 81,8%.</w:t>
      </w:r>
    </w:p>
    <w:tbl>
      <w:tblPr>
        <w:tblStyle w:val="ab"/>
        <w:tblpPr w:leftFromText="141" w:rightFromText="141" w:vertAnchor="text" w:horzAnchor="margin" w:tblpXSpec="right" w:tblpY="5302"/>
        <w:tblW w:w="7439" w:type="dxa"/>
        <w:tblLayout w:type="fixed"/>
        <w:tblLook w:val="04A0" w:firstRow="1" w:lastRow="0" w:firstColumn="1" w:lastColumn="0" w:noHBand="0" w:noVBand="1"/>
      </w:tblPr>
      <w:tblGrid>
        <w:gridCol w:w="2427"/>
        <w:gridCol w:w="1670"/>
        <w:gridCol w:w="1671"/>
        <w:gridCol w:w="1671"/>
      </w:tblGrid>
      <w:tr w:rsidR="008470D3" w:rsidRPr="00977DA2" w14:paraId="05527A85" w14:textId="77777777" w:rsidTr="008470D3">
        <w:tc>
          <w:tcPr>
            <w:tcW w:w="2427" w:type="dxa"/>
            <w:vAlign w:val="center"/>
          </w:tcPr>
          <w:p w14:paraId="334586BE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0D4EF600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2021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294022B6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2020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1C806940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Ano 2019</w:t>
            </w:r>
          </w:p>
        </w:tc>
      </w:tr>
      <w:tr w:rsidR="008470D3" w:rsidRPr="00977DA2" w14:paraId="38AB9EBB" w14:textId="77777777" w:rsidTr="008470D3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4832F19E" w14:textId="102CB645" w:rsidR="008470D3" w:rsidRPr="00977DA2" w:rsidRDefault="00D04E91" w:rsidP="003A4564">
            <w:pPr>
              <w:widowControl/>
              <w:tabs>
                <w:tab w:val="num" w:pos="405"/>
              </w:tabs>
              <w:overflowPunct w:val="0"/>
              <w:spacing w:before="100" w:beforeAutospacing="1"/>
              <w:rPr>
                <w:rFonts w:ascii="Times New Roman" w:eastAsia="SimSun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</w:t>
            </w:r>
            <w:r w:rsidR="008470D3"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licia</w:t>
            </w: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mento</w:t>
            </w:r>
            <w:r w:rsidR="008470D3"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, </w:t>
            </w: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auxílio</w:t>
            </w:r>
            <w:r w:rsidR="008470D3"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, acolh</w:t>
            </w: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imento</w:t>
            </w:r>
            <w:r w:rsidR="008470D3"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e empreg</w:t>
            </w: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o de</w:t>
            </w:r>
            <w:r w:rsidR="008470D3"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 xml:space="preserve"> emigrantes ilegais/indivíduos em estado de permanência ilegal</w:t>
            </w:r>
          </w:p>
        </w:tc>
        <w:tc>
          <w:tcPr>
            <w:tcW w:w="1670" w:type="dxa"/>
            <w:vAlign w:val="center"/>
          </w:tcPr>
          <w:p w14:paraId="656C282B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696</w:t>
            </w:r>
          </w:p>
        </w:tc>
        <w:tc>
          <w:tcPr>
            <w:tcW w:w="1671" w:type="dxa"/>
            <w:vAlign w:val="center"/>
          </w:tcPr>
          <w:p w14:paraId="014DD76F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401</w:t>
            </w:r>
          </w:p>
        </w:tc>
        <w:tc>
          <w:tcPr>
            <w:tcW w:w="1671" w:type="dxa"/>
            <w:vAlign w:val="center"/>
          </w:tcPr>
          <w:p w14:paraId="224E80B0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341</w:t>
            </w:r>
          </w:p>
        </w:tc>
      </w:tr>
      <w:tr w:rsidR="008470D3" w:rsidRPr="00977DA2" w14:paraId="5FEA0840" w14:textId="77777777" w:rsidTr="008470D3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2AF53328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Crime informático</w:t>
            </w:r>
          </w:p>
        </w:tc>
        <w:tc>
          <w:tcPr>
            <w:tcW w:w="1670" w:type="dxa"/>
            <w:vAlign w:val="center"/>
          </w:tcPr>
          <w:p w14:paraId="1BB83EC7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800</w:t>
            </w:r>
          </w:p>
        </w:tc>
        <w:tc>
          <w:tcPr>
            <w:tcW w:w="1671" w:type="dxa"/>
            <w:vAlign w:val="center"/>
          </w:tcPr>
          <w:p w14:paraId="064D2972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531</w:t>
            </w:r>
          </w:p>
        </w:tc>
        <w:tc>
          <w:tcPr>
            <w:tcW w:w="1671" w:type="dxa"/>
            <w:vAlign w:val="center"/>
          </w:tcPr>
          <w:p w14:paraId="593BA306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270</w:t>
            </w:r>
          </w:p>
        </w:tc>
      </w:tr>
      <w:tr w:rsidR="008470D3" w:rsidRPr="00977DA2" w14:paraId="30A36D1E" w14:textId="77777777" w:rsidTr="008470D3"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304B6EBF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both"/>
              <w:rPr>
                <w:rFonts w:ascii="Times New Roman" w:eastAsia="標楷體" w:hAnsi="Times New Roman" w:cs="Times New Roman"/>
                <w:spacing w:val="20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Tráfico e venda de droga</w:t>
            </w:r>
          </w:p>
        </w:tc>
        <w:tc>
          <w:tcPr>
            <w:tcW w:w="1670" w:type="dxa"/>
            <w:vAlign w:val="center"/>
          </w:tcPr>
          <w:p w14:paraId="58E453A7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75</w:t>
            </w:r>
          </w:p>
        </w:tc>
        <w:tc>
          <w:tcPr>
            <w:tcW w:w="1671" w:type="dxa"/>
            <w:vAlign w:val="center"/>
          </w:tcPr>
          <w:p w14:paraId="4A6A0555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71</w:t>
            </w:r>
          </w:p>
        </w:tc>
        <w:tc>
          <w:tcPr>
            <w:tcW w:w="1671" w:type="dxa"/>
            <w:vAlign w:val="center"/>
          </w:tcPr>
          <w:p w14:paraId="605B7BA6" w14:textId="77777777" w:rsidR="008470D3" w:rsidRPr="00977DA2" w:rsidRDefault="008470D3" w:rsidP="008470D3">
            <w:pPr>
              <w:widowControl/>
              <w:tabs>
                <w:tab w:val="num" w:pos="405"/>
              </w:tabs>
              <w:overflowPunct w:val="0"/>
              <w:spacing w:before="100" w:beforeAutospacing="1"/>
              <w:jc w:val="center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 w:rsidRPr="00977DA2">
              <w:rPr>
                <w:rFonts w:ascii="Times New Roman" w:hAnsi="Times New Roman" w:cs="Times New Roman"/>
                <w:kern w:val="0"/>
                <w:sz w:val="26"/>
                <w:szCs w:val="26"/>
              </w:rPr>
              <w:t>119</w:t>
            </w:r>
          </w:p>
        </w:tc>
      </w:tr>
    </w:tbl>
    <w:p w14:paraId="554458C5" w14:textId="5FA44A54" w:rsidR="00116372" w:rsidRPr="00977DA2" w:rsidRDefault="00116372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entre 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estes crimes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os actos de alicia</w:t>
      </w:r>
      <w:r w:rsidR="00D04E91" w:rsidRPr="00977DA2">
        <w:rPr>
          <w:rFonts w:ascii="Times New Roman" w:hAnsi="Times New Roman" w:cs="Times New Roman"/>
          <w:kern w:val="0"/>
          <w:sz w:val="26"/>
          <w:szCs w:val="26"/>
        </w:rPr>
        <w:t>mento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D04E91" w:rsidRPr="00977DA2">
        <w:rPr>
          <w:rFonts w:ascii="Times New Roman" w:hAnsi="Times New Roman" w:cs="Times New Roman"/>
          <w:kern w:val="0"/>
          <w:sz w:val="26"/>
          <w:szCs w:val="26"/>
        </w:rPr>
        <w:t>auxílio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acol</w:t>
      </w:r>
      <w:r w:rsidR="00D04E91" w:rsidRPr="00977DA2">
        <w:rPr>
          <w:rFonts w:ascii="Times New Roman" w:hAnsi="Times New Roman" w:cs="Times New Roman"/>
          <w:kern w:val="0"/>
          <w:sz w:val="26"/>
          <w:szCs w:val="26"/>
        </w:rPr>
        <w:t>himento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empreg</w:t>
      </w:r>
      <w:r w:rsidR="00D04E91" w:rsidRPr="00977DA2">
        <w:rPr>
          <w:rFonts w:ascii="Times New Roman" w:hAnsi="Times New Roman" w:cs="Times New Roman"/>
          <w:kern w:val="0"/>
          <w:sz w:val="26"/>
          <w:szCs w:val="26"/>
        </w:rPr>
        <w:t>o de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emigrantes ilegais/indivíduos em estado de permanência ilegal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totalizaram-se 696 casos, representando um acréscimo de 73,6% e 104,1%, em comparação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 xml:space="preserve">respectivamente,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com os anos 2020 e 2019.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“crime informático”, regist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800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casos,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representando um acréscimo de </w:t>
      </w:r>
      <w:r w:rsidR="00F7019D" w:rsidRPr="00977DA2">
        <w:rPr>
          <w:rFonts w:ascii="Times New Roman" w:hAnsi="Times New Roman" w:cs="Times New Roman"/>
          <w:kern w:val="0"/>
          <w:sz w:val="26"/>
          <w:szCs w:val="26"/>
        </w:rPr>
        <w:t>5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0,7% e 196,3%, respectivamente em comparação com os anos 2020 e 2019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97F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crime de “tráfico </w:t>
      </w:r>
      <w:r w:rsidR="00197FD6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venda 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de droga</w:t>
      </w:r>
      <w:r w:rsidR="00197FD6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registou-se 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</w:t>
      </w:r>
      <w:r w:rsidR="00F7019D" w:rsidRPr="00977DA2">
        <w:rPr>
          <w:rFonts w:ascii="Times New Roman" w:hAnsi="Times New Roman" w:cs="Times New Roman"/>
          <w:kern w:val="0"/>
          <w:sz w:val="26"/>
          <w:szCs w:val="26"/>
        </w:rPr>
        <w:t xml:space="preserve">total de 75 casos, representando </w:t>
      </w:r>
      <w:r w:rsidR="00A36327" w:rsidRPr="00977DA2">
        <w:rPr>
          <w:rFonts w:ascii="Times New Roman" w:hAnsi="Times New Roman" w:cs="Times New Roman"/>
          <w:kern w:val="0"/>
          <w:sz w:val="26"/>
          <w:szCs w:val="26"/>
        </w:rPr>
        <w:t>um acréscimo de 5,6% em comparação com o ano 2020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A36327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7019D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A36327" w:rsidRPr="00977DA2">
        <w:rPr>
          <w:rFonts w:ascii="Times New Roman" w:hAnsi="Times New Roman" w:cs="Times New Roman"/>
          <w:kern w:val="0"/>
          <w:sz w:val="26"/>
          <w:szCs w:val="26"/>
        </w:rPr>
        <w:t>em comparação com o ano 2019 houve uma redução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</w:t>
      </w:r>
      <w:r w:rsidR="00A36327" w:rsidRPr="00977DA2">
        <w:rPr>
          <w:rFonts w:ascii="Times New Roman" w:hAnsi="Times New Roman" w:cs="Times New Roman"/>
          <w:kern w:val="0"/>
          <w:sz w:val="26"/>
          <w:szCs w:val="26"/>
        </w:rPr>
        <w:t>37</w:t>
      </w:r>
      <w:r w:rsidR="000F6AF0" w:rsidRPr="00977DA2">
        <w:rPr>
          <w:rFonts w:ascii="Times New Roman" w:hAnsi="Times New Roman" w:cs="Times New Roman"/>
          <w:kern w:val="0"/>
          <w:sz w:val="26"/>
          <w:szCs w:val="26"/>
        </w:rPr>
        <w:t>%</w:t>
      </w:r>
      <w:r w:rsidR="00D7490A"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232F047E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5DCC2BA4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CB3128F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CDBEBEF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BF736EC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7602C264" w14:textId="77777777" w:rsidR="00AE1928" w:rsidRPr="00977DA2" w:rsidRDefault="00AE1928" w:rsidP="008A43DC">
      <w:pPr>
        <w:widowControl/>
        <w:overflowPunct w:val="0"/>
        <w:spacing w:after="240" w:line="500" w:lineRule="exact"/>
        <w:ind w:left="851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176219F0" w14:textId="3CC472B9" w:rsidR="00815D7C" w:rsidRPr="00977DA2" w:rsidRDefault="00815D7C" w:rsidP="006F0BCF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No ano 2021 regist</w:t>
      </w:r>
      <w:r w:rsidR="00AE1928" w:rsidRPr="00977DA2">
        <w:rPr>
          <w:rFonts w:ascii="Times New Roman" w:hAnsi="Times New Roman" w:cs="Times New Roman"/>
          <w:kern w:val="0"/>
          <w:sz w:val="26"/>
          <w:szCs w:val="26"/>
        </w:rPr>
        <w:t>ou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-se um total de 255 casos de “criminalidade violenta”, um aumento ligeiro de 12 casos e de 4,9% comparando com o ano 2020, e um decréscimo de 418 casos e de 62,1% comparando com o ano 2019. No âmbito dos crimes de violência grave, tais como de “rapto”, de “homicídio” e de “ofensas corporais graves”, continuamos a manter uma boa situação, de taxa zero ou de casuística muito baixa.</w:t>
      </w:r>
    </w:p>
    <w:p w14:paraId="28A99EF8" w14:textId="577206DC" w:rsidR="00815D7C" w:rsidRPr="00977DA2" w:rsidRDefault="00815D7C" w:rsidP="006F0BCF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>Quanto às acções de prevenção e combate à imigração ilegal, no ano 2021 detectaram-se 372 imigrantes ilegais, representando um decréscimo de 239 indivíduos e de 39,1% em comparação com o ano 2020</w:t>
      </w:r>
      <w:r w:rsidR="00CA6A17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uma descida de 644 indivíduos e de 63,4% e em comparação com o ano 2019. Foram </w:t>
      </w:r>
      <w:r w:rsidR="008F63B8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detectadas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13.932 pessoas em situação de excesso de permanência, significando uma subida de 3.319 pessoas e de 31,3% em comparação com o ano 2020</w:t>
      </w:r>
      <w:r w:rsidR="00CA6A17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uma descida de 14.779 pessoas e de 51,5%, comparando com o ano 2019.</w:t>
      </w:r>
    </w:p>
    <w:p w14:paraId="6F1FC455" w14:textId="0E662052" w:rsidR="00815D7C" w:rsidRPr="00977DA2" w:rsidRDefault="00815D7C" w:rsidP="006F0BCF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No âmbito da “delinquência juvenil” regista</w:t>
      </w:r>
      <w:r w:rsidR="009A1072" w:rsidRPr="00977DA2">
        <w:rPr>
          <w:rFonts w:ascii="Times New Roman" w:hAnsi="Times New Roman" w:cs="Times New Roman"/>
          <w:kern w:val="0"/>
          <w:sz w:val="26"/>
          <w:szCs w:val="26"/>
        </w:rPr>
        <w:t>ram-se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67 casos</w:t>
      </w:r>
      <w:r w:rsidR="00CA6A17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9A1072" w:rsidRPr="00977DA2">
        <w:rPr>
          <w:rFonts w:ascii="Times New Roman" w:hAnsi="Times New Roman" w:cs="Times New Roman"/>
          <w:kern w:val="0"/>
          <w:sz w:val="26"/>
          <w:szCs w:val="26"/>
        </w:rPr>
        <w:t>em que estiveram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envolvi</w:t>
      </w:r>
      <w:r w:rsidR="009A1072" w:rsidRPr="00977DA2">
        <w:rPr>
          <w:rFonts w:ascii="Times New Roman" w:hAnsi="Times New Roman" w:cs="Times New Roman"/>
          <w:kern w:val="0"/>
          <w:sz w:val="26"/>
          <w:szCs w:val="26"/>
        </w:rPr>
        <w:t>dos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122 jovens, representando um aumento de 9 casos e de 39 jovens em comparação com 2020</w:t>
      </w:r>
      <w:r w:rsidR="00CA6A17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 aumento de 7 casos e de 32 jovens em comparação com 2019.</w:t>
      </w:r>
    </w:p>
    <w:p w14:paraId="34C92834" w14:textId="22350F3B" w:rsidR="00815D7C" w:rsidRPr="00977DA2" w:rsidRDefault="00815D7C" w:rsidP="006F0BCF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Durante as operações policiais e operações de investigação efectuadas no ano passado, foram detidos e presentes ao Ministério Público um total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 xml:space="preserve"> de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3.995 indivíduos, </w:t>
      </w:r>
      <w:r w:rsidR="005D0E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um aumento de 380 indivíduos e de 10,5%, comparando com o ano 2020, e uma descida de 2.661 indivíduos e de 40%, comparando com o ano 2019.</w:t>
      </w:r>
    </w:p>
    <w:p w14:paraId="4B6816E9" w14:textId="0D42000D" w:rsidR="00815D7C" w:rsidRPr="00977DA2" w:rsidRDefault="00815D7C" w:rsidP="008470D3">
      <w:pPr>
        <w:pStyle w:val="a7"/>
        <w:widowControl/>
        <w:numPr>
          <w:ilvl w:val="0"/>
          <w:numId w:val="8"/>
        </w:numPr>
        <w:overflowPunct w:val="0"/>
        <w:spacing w:after="240" w:line="500" w:lineRule="exact"/>
        <w:ind w:leftChars="0" w:left="0" w:firstLine="0"/>
        <w:jc w:val="both"/>
        <w:rPr>
          <w:rFonts w:ascii="Times New Roman" w:hAnsi="Times New Roman" w:cs="Times New Roman"/>
          <w:b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b/>
          <w:kern w:val="0"/>
          <w:sz w:val="26"/>
          <w:szCs w:val="26"/>
        </w:rPr>
        <w:t>Conclusão:</w:t>
      </w:r>
    </w:p>
    <w:p w14:paraId="0B57ABE7" w14:textId="2C190308" w:rsidR="00815D7C" w:rsidRPr="00977DA2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Resumindo as estatísticas da criminalidade e dos trabalhos de execução da lei entre os anos de 2019 e 2021, constata-se que o número total de crimes registado do ano 2021 é </w:t>
      </w:r>
      <w:r w:rsidR="008F63B8" w:rsidRPr="00F14078">
        <w:rPr>
          <w:rFonts w:ascii="Times New Roman" w:hAnsi="Times New Roman" w:cs="Times New Roman"/>
          <w:kern w:val="0"/>
          <w:sz w:val="26"/>
          <w:szCs w:val="26"/>
        </w:rPr>
        <w:t xml:space="preserve">um número </w:t>
      </w:r>
      <w:r w:rsidR="00570C95" w:rsidRPr="00F14078">
        <w:rPr>
          <w:rFonts w:ascii="Times New Roman" w:hAnsi="Times New Roman" w:cs="Times New Roman"/>
          <w:kern w:val="0"/>
          <w:sz w:val="26"/>
          <w:szCs w:val="26"/>
        </w:rPr>
        <w:t xml:space="preserve">que se situa entre os números de 2020 e </w:t>
      </w:r>
      <w:r w:rsidR="00570C95" w:rsidRPr="004D2F5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2019 (regist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ou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-se um total de 11.376 crimes em 2021, 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10.057 crimes em 2020 e 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14.178 crimes em 2019), e não se verific</w:t>
      </w:r>
      <w:r w:rsidR="00570C95" w:rsidRPr="00977DA2">
        <w:rPr>
          <w:rFonts w:ascii="Times New Roman" w:hAnsi="Times New Roman" w:cs="Times New Roman"/>
          <w:kern w:val="0"/>
          <w:sz w:val="26"/>
          <w:szCs w:val="26"/>
        </w:rPr>
        <w:t>aram alterações significativas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no crime violento que prejudi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que</w:t>
      </w:r>
      <w:r w:rsidR="00570C95" w:rsidRPr="00977DA2">
        <w:rPr>
          <w:rFonts w:ascii="Times New Roman" w:hAnsi="Times New Roman" w:cs="Times New Roman"/>
          <w:kern w:val="0"/>
          <w:sz w:val="26"/>
          <w:szCs w:val="26"/>
        </w:rPr>
        <w:t>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gravemente a segurança </w:t>
      </w:r>
      <w:r w:rsidR="00570C95" w:rsidRPr="00977DA2">
        <w:rPr>
          <w:rFonts w:ascii="Times New Roman" w:hAnsi="Times New Roman" w:cs="Times New Roman"/>
          <w:kern w:val="0"/>
          <w:sz w:val="26"/>
          <w:szCs w:val="26"/>
        </w:rPr>
        <w:t xml:space="preserve">da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sociedade, pelo que consideramos que a situação geral de segurança se apresentou estável.</w:t>
      </w:r>
    </w:p>
    <w:p w14:paraId="35A6388A" w14:textId="270DFC9A" w:rsidR="00815D7C" w:rsidRPr="00977DA2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>Para assegurar a ordem d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sociedade de Macau, os S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erviços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P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nitários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coordenando o C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orpo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P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egurança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P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ública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a 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Polícia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J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udiciária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trabalhando em conjunto com os S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erviços de Alfândega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 (SA)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realizaram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 ano passado, 1.499 acções de inspecção que incluíram as operações “Preventiva do Inverno 2021” e “Trovoada 2021”. Nas acções realizadas foram </w:t>
      </w:r>
      <w:r w:rsidR="00905C9D" w:rsidRPr="00977DA2">
        <w:rPr>
          <w:rFonts w:ascii="Times New Roman" w:hAnsi="Times New Roman" w:cs="Times New Roman"/>
          <w:kern w:val="0"/>
          <w:sz w:val="26"/>
          <w:szCs w:val="26"/>
        </w:rPr>
        <w:t>mobilizad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="00905C9D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16.879 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agentes 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forças policiais e efectuadas 52.667 investigações a indivíduos, entre </w:t>
      </w:r>
      <w:r w:rsidR="006A0BF9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s quais 790 indivíduos foram entregues aos órgãos judiciais para o devido procedimento por estarem envolvidos em 656 casos de crime.</w:t>
      </w:r>
    </w:p>
    <w:p w14:paraId="0DCE75F2" w14:textId="5DF9A997" w:rsidR="00815D7C" w:rsidRPr="00977DA2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Embora não se verificasse</w:t>
      </w:r>
      <w:r w:rsidR="00570C95" w:rsidRPr="00977DA2">
        <w:rPr>
          <w:rFonts w:ascii="Times New Roman" w:hAnsi="Times New Roman" w:cs="Times New Roman"/>
          <w:kern w:val="0"/>
          <w:sz w:val="26"/>
          <w:szCs w:val="26"/>
        </w:rPr>
        <w:t>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em geral, </w:t>
      </w:r>
      <w:r w:rsidR="00570C95" w:rsidRPr="00977DA2">
        <w:rPr>
          <w:rFonts w:ascii="Times New Roman" w:hAnsi="Times New Roman" w:cs="Times New Roman"/>
          <w:kern w:val="0"/>
          <w:sz w:val="26"/>
          <w:szCs w:val="26"/>
        </w:rPr>
        <w:t>alterações significativas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no crime violento, registou-se uma ligeira subida em alguns tipos de crime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como os 3 casos de homicídio, que representaram uma subida de 1 caso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relativamente 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2020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. 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 3 casos estavam ligados à actividade de troca ilegal de moeda e as </w:t>
      </w:r>
      <w:r w:rsidR="00905C9D" w:rsidRPr="00977DA2">
        <w:rPr>
          <w:rFonts w:ascii="Times New Roman" w:hAnsi="Times New Roman" w:cs="Times New Roman"/>
          <w:kern w:val="0"/>
          <w:sz w:val="26"/>
          <w:szCs w:val="26"/>
        </w:rPr>
        <w:t>vítimas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 xml:space="preserve">eram oriundas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do Interior da China. Os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modi operandi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dos 3 casos eram semelhantes, os suspeitos, sob o pretexto de trocar moeda, dirigiram</w:t>
      </w:r>
      <w:r w:rsidR="00413DE5" w:rsidRPr="003B4FF9">
        <w:rPr>
          <w:rFonts w:ascii="Times New Roman" w:hAnsi="Times New Roman" w:cs="Times New Roman"/>
          <w:kern w:val="0"/>
          <w:sz w:val="26"/>
          <w:szCs w:val="26"/>
        </w:rPr>
        <w:t>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aos quartos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 xml:space="preserve">do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hotel juntamente com as vítimas e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depois, mataram-nas e roubaram os seus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bens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. A par disso, regista</w:t>
      </w:r>
      <w:r w:rsidR="009A557C" w:rsidRPr="00977DA2">
        <w:rPr>
          <w:rFonts w:ascii="Times New Roman" w:hAnsi="Times New Roman" w:cs="Times New Roman"/>
          <w:kern w:val="0"/>
          <w:sz w:val="26"/>
          <w:szCs w:val="26"/>
        </w:rPr>
        <w:t>ram-se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31 casos de roubo, representando uma subida de 5 casos em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relação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o ano 2020</w:t>
      </w:r>
      <w:r w:rsidR="00413DE5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a maioria deles ocorreu em hotéis ou nos seus arredores e muitos estavam relacionados com a troca ilegal de moeda e a prostituição. </w:t>
      </w:r>
    </w:p>
    <w:p w14:paraId="4EC5691A" w14:textId="71E654F7" w:rsidR="00815D7C" w:rsidRPr="00977DA2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Perante a essa situação, a Polícia reforçou o combate às actividades ilegais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, tais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como a de troca ilegal de moeda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69498C" w:rsidRPr="00EB280C">
        <w:rPr>
          <w:rFonts w:ascii="Times New Roman" w:hAnsi="Times New Roman" w:cs="Times New Roman"/>
          <w:kern w:val="0"/>
          <w:sz w:val="26"/>
          <w:szCs w:val="26"/>
        </w:rPr>
        <w:t xml:space="preserve">em 2021 </w:t>
      </w:r>
      <w:r w:rsidRPr="0069498C">
        <w:rPr>
          <w:rFonts w:ascii="Times New Roman" w:hAnsi="Times New Roman" w:cs="Times New Roman"/>
          <w:kern w:val="0"/>
          <w:sz w:val="26"/>
          <w:szCs w:val="26"/>
        </w:rPr>
        <w:t>realizou 747 operações em casinos e nos seus arredores, nas quais foram mobilizad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 4.649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agentes 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forças policiais, investigadas 8.537 pessoas e apreendido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total 1.116 indivíduos que praticavam a actividade de “troca de moeda”, de “pedintes” e de “prostituição”,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tendo sido transmitidas informações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à Direcção de Inspecção e Coordenação de Jogos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relativas 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os dados de 445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indivíduos que praticavam a actividade de “troca de moeda”, a fim de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serem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adopta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das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medidas preventiva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interdição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entrada nos casinos. </w:t>
      </w:r>
    </w:p>
    <w:p w14:paraId="5E4D30AF" w14:textId="4326249E" w:rsidR="00815D7C" w:rsidRPr="00977DA2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No ano passado regista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ram-se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no total, 51 casos de fogo posto, um aumento de 10,9% em comparação com o ano 2020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uma descida de 10,5% em comparação com o ano 2019. Entre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estes casos,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19 foram causados por pontas de cigarro deixadas em lugar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es</w:t>
      </w:r>
      <w:r w:rsidRPr="0069498C">
        <w:rPr>
          <w:rFonts w:ascii="Times New Roman" w:hAnsi="Times New Roman" w:cs="Times New Roman"/>
          <w:kern w:val="0"/>
          <w:sz w:val="26"/>
          <w:szCs w:val="26"/>
        </w:rPr>
        <w:t xml:space="preserve"> inapropriado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69498C">
        <w:rPr>
          <w:rFonts w:ascii="Times New Roman" w:hAnsi="Times New Roman" w:cs="Times New Roman"/>
          <w:kern w:val="0"/>
          <w:sz w:val="26"/>
          <w:szCs w:val="26"/>
        </w:rPr>
        <w:t>, representando uma diminuição significativa de 14 casos comparando com o ano 2020</w:t>
      </w:r>
      <w:r w:rsidR="000A3906" w:rsidRPr="003B4FF9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 restantes casos foram praticados por indivíduos para alívio emocional,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foram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provocados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 xml:space="preserve">por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crianças que brincavam com o fogo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ou relaciona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r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am-se com </w:t>
      </w:r>
      <w:r w:rsidR="000A3906" w:rsidRPr="00977DA2">
        <w:rPr>
          <w:rFonts w:ascii="Times New Roman" w:hAnsi="Times New Roman" w:cs="Times New Roman"/>
          <w:kern w:val="0"/>
          <w:sz w:val="26"/>
          <w:szCs w:val="26"/>
        </w:rPr>
        <w:t>crimes de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furto. No intuito de elevar as noções e o conhecimento do público sobre a prevenção d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e</w:t>
      </w:r>
      <w:r w:rsidRPr="0069498C">
        <w:rPr>
          <w:rFonts w:ascii="Times New Roman" w:hAnsi="Times New Roman" w:cs="Times New Roman"/>
          <w:kern w:val="0"/>
          <w:sz w:val="26"/>
          <w:szCs w:val="26"/>
        </w:rPr>
        <w:t xml:space="preserve"> incêndio</w:t>
      </w:r>
      <w:r w:rsidR="000A3906" w:rsidRPr="0069498C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69498C">
        <w:rPr>
          <w:rFonts w:ascii="Times New Roman" w:hAnsi="Times New Roman" w:cs="Times New Roman"/>
          <w:kern w:val="0"/>
          <w:sz w:val="26"/>
          <w:szCs w:val="26"/>
        </w:rPr>
        <w:t xml:space="preserve"> e a capacidade de resposta, o Corpo de Bombeiro </w:t>
      </w:r>
      <w:r w:rsidR="0080533C" w:rsidRPr="00977DA2">
        <w:rPr>
          <w:rFonts w:ascii="Times New Roman" w:hAnsi="Times New Roman" w:cs="Times New Roman"/>
          <w:kern w:val="0"/>
          <w:sz w:val="26"/>
          <w:szCs w:val="26"/>
        </w:rPr>
        <w:t>realizou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em conjunt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>o com as escolas, associações dos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moradores, 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>associações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empresas, um total de 148 palestras sobre a prevenção de incêndio</w:t>
      </w:r>
      <w:r w:rsidR="0080533C" w:rsidRPr="00977DA2">
        <w:rPr>
          <w:rFonts w:ascii="Times New Roman" w:hAnsi="Times New Roman" w:cs="Times New Roman"/>
          <w:kern w:val="0"/>
          <w:sz w:val="26"/>
          <w:szCs w:val="26"/>
        </w:rPr>
        <w:t>s,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as quais contaram com 16.000 participações, assim como organizou 1.013 actividades de sensibilização, nas quais foram distribuíd</w:t>
      </w:r>
      <w:r w:rsidR="0080533C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 76.635 artigos publicitários, cartazes e </w:t>
      </w:r>
      <w:r w:rsidR="00905C9D" w:rsidRPr="00977DA2">
        <w:rPr>
          <w:rFonts w:ascii="Times New Roman" w:hAnsi="Times New Roman" w:cs="Times New Roman"/>
          <w:kern w:val="0"/>
          <w:sz w:val="26"/>
          <w:szCs w:val="26"/>
        </w:rPr>
        <w:t>folhetos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sobre a prevenção de incêndio</w:t>
      </w:r>
      <w:r w:rsidR="0080533C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</w:p>
    <w:p w14:paraId="5251A37B" w14:textId="77777777" w:rsidR="00815D7C" w:rsidRPr="00977DA2" w:rsidRDefault="00815D7C" w:rsidP="00815D7C">
      <w:pPr>
        <w:pStyle w:val="a7"/>
        <w:rPr>
          <w:rFonts w:ascii="Times New Roman" w:hAnsi="Times New Roman" w:cs="Times New Roman"/>
          <w:szCs w:val="24"/>
        </w:rPr>
      </w:pPr>
    </w:p>
    <w:p w14:paraId="14AE8145" w14:textId="7D7C7445" w:rsidR="00815D7C" w:rsidRPr="003B4FF9" w:rsidRDefault="00815D7C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szCs w:val="24"/>
        </w:rPr>
        <w:t>Fo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ram registados no total 80 casos de “usura”, vulgarmente conhecidos por “agiotagem”, representando um aumento de 2,6% comparando com o ano 2020 e uma descida de 86,8% comparando com o ano 2019, e </w:t>
      </w:r>
      <w:r w:rsidR="003C31FD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crime de sequestro,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estreitamente relacionado</w:t>
      </w:r>
      <w:r w:rsidR="003C31FD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 aquele crime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regist</w:t>
      </w:r>
      <w:r w:rsidR="003C31FD" w:rsidRPr="00977DA2">
        <w:rPr>
          <w:rFonts w:ascii="Times New Roman" w:hAnsi="Times New Roman" w:cs="Times New Roman"/>
          <w:kern w:val="0"/>
          <w:sz w:val="26"/>
          <w:szCs w:val="26"/>
        </w:rPr>
        <w:t>aram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-se no total 34 casos, representando uma diminuição de 8,1% comparand</w:t>
      </w:r>
      <w:r w:rsidR="00905C9D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 o ano 2020 e uma diminuição de 90,4% comparando com o ano 2019. No primeiro semestre do ano 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transacto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após investigações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>efectuadas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a Polícia descobriu a prática de crimes de “</w:t>
      </w:r>
      <w:r w:rsidR="002104D3" w:rsidRPr="00977DA2">
        <w:rPr>
          <w:rFonts w:ascii="Times New Roman" w:hAnsi="Times New Roman" w:cs="Times New Roman"/>
          <w:kern w:val="0"/>
          <w:sz w:val="26"/>
          <w:szCs w:val="26"/>
        </w:rPr>
        <w:t>agiotagem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”, sequestro e de branqueamento de capitais por uma associação criminosa </w:t>
      </w:r>
      <w:r w:rsidR="002104D3" w:rsidRPr="00977DA2">
        <w:rPr>
          <w:rFonts w:ascii="Times New Roman" w:hAnsi="Times New Roman" w:cs="Times New Roman"/>
          <w:kern w:val="0"/>
          <w:sz w:val="26"/>
          <w:szCs w:val="26"/>
        </w:rPr>
        <w:t>transfronteiriça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que </w:t>
      </w:r>
      <w:r w:rsidR="005F0D07" w:rsidRPr="00977DA2">
        <w:rPr>
          <w:rFonts w:ascii="Times New Roman" w:hAnsi="Times New Roman" w:cs="Times New Roman"/>
          <w:kern w:val="0"/>
          <w:sz w:val="26"/>
          <w:szCs w:val="26"/>
        </w:rPr>
        <w:t>explorava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actividade ilícita de “usura”. Tendo em conta que a maioria dos membros d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essa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associação é oriunda do Interior da China, a Polícia de Macau 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recorreu</w:t>
      </w:r>
      <w:r w:rsidR="0069498C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3C31FD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imediato 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o </w:t>
      </w:r>
      <w:r w:rsidR="0069498C">
        <w:rPr>
          <w:rFonts w:ascii="Times New Roman" w:hAnsi="Times New Roman" w:cs="Times New Roman"/>
          <w:kern w:val="0"/>
          <w:sz w:val="26"/>
          <w:szCs w:val="26"/>
        </w:rPr>
        <w:t>competente</w:t>
      </w:r>
      <w:r w:rsidR="0069498C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mecanismo para comunicar </w:t>
      </w:r>
      <w:r w:rsidR="003C31FD"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os serviços policiais do Interior da China,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 xml:space="preserve">para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fazer a troca de informações e trabalhar em conjunto com a outra parte. Mediante uma planificação </w:t>
      </w:r>
      <w:r w:rsidR="00AF1A9A" w:rsidRPr="00977DA2">
        <w:rPr>
          <w:rFonts w:ascii="Times New Roman" w:hAnsi="Times New Roman" w:cs="Times New Roman"/>
          <w:kern w:val="0"/>
          <w:sz w:val="26"/>
          <w:szCs w:val="26"/>
        </w:rPr>
        <w:t>minuciosa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dos trabalhos,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>que decorreu durante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6 meses, as duas Pol</w:t>
      </w:r>
      <w:r w:rsidR="00847AD0" w:rsidRPr="00977DA2">
        <w:rPr>
          <w:rFonts w:ascii="Times New Roman" w:hAnsi="Times New Roman" w:cs="Times New Roman"/>
          <w:kern w:val="0"/>
          <w:sz w:val="26"/>
          <w:szCs w:val="26"/>
        </w:rPr>
        <w:t>í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cias realizaram uma operação conjunta no dia 26 de Dezembro de 2021 e conseguiram desmantelar a referida associação criminosa e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>deter</w:t>
      </w:r>
      <w:r w:rsidR="00847AD0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40 membros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>desta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associação. </w:t>
      </w:r>
    </w:p>
    <w:p w14:paraId="2F0FFDE8" w14:textId="783526E5" w:rsidR="00DF140F" w:rsidRPr="00977DA2" w:rsidRDefault="00DF140F" w:rsidP="00815D7C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3B4FF9">
        <w:rPr>
          <w:rFonts w:ascii="Times New Roman" w:hAnsi="Times New Roman" w:cs="Times New Roman"/>
          <w:kern w:val="0"/>
          <w:sz w:val="26"/>
          <w:szCs w:val="26"/>
        </w:rPr>
        <w:t>Um total de 1.307 casos de burla fo</w:t>
      </w:r>
      <w:r w:rsidR="00847AD0" w:rsidRPr="003B4FF9">
        <w:rPr>
          <w:rFonts w:ascii="Times New Roman" w:hAnsi="Times New Roman" w:cs="Times New Roman"/>
          <w:kern w:val="0"/>
          <w:sz w:val="26"/>
          <w:szCs w:val="26"/>
        </w:rPr>
        <w:t>i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registado no ano passado,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um aumento de 29,8% em relação a 2020</w:t>
      </w:r>
      <w:r w:rsidR="00BB1D6D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23903" w:rsidRPr="00781397">
        <w:rPr>
          <w:rFonts w:ascii="Times New Roman" w:hAnsi="Times New Roman" w:cs="Times New Roman"/>
          <w:kern w:val="0"/>
          <w:sz w:val="26"/>
          <w:szCs w:val="26"/>
        </w:rPr>
        <w:t>d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>ecréscimo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de 14,3% em relação a 2019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 xml:space="preserve">. Entre estes casos,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524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 xml:space="preserve">são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casos de burla </w:t>
      </w:r>
      <w:r w:rsidR="001236EC" w:rsidRPr="003B4FF9">
        <w:rPr>
          <w:rFonts w:ascii="Times New Roman" w:hAnsi="Times New Roman" w:cs="Times New Roman"/>
          <w:kern w:val="0"/>
          <w:sz w:val="26"/>
          <w:szCs w:val="26"/>
        </w:rPr>
        <w:t>com recurso à</w:t>
      </w:r>
      <w:r w:rsidRPr="00F14078">
        <w:rPr>
          <w:rFonts w:ascii="Times New Roman" w:hAnsi="Times New Roman" w:cs="Times New Roman"/>
          <w:color w:val="FF0000"/>
          <w:kern w:val="0"/>
          <w:sz w:val="26"/>
          <w:szCs w:val="26"/>
        </w:rPr>
        <w:t xml:space="preserve"> </w:t>
      </w:r>
      <w:r w:rsidRPr="004D2F52">
        <w:rPr>
          <w:rFonts w:ascii="Times New Roman" w:hAnsi="Times New Roman" w:cs="Times New Roman"/>
          <w:i/>
          <w:kern w:val="0"/>
          <w:sz w:val="26"/>
          <w:szCs w:val="26"/>
        </w:rPr>
        <w:t>Internet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EA5648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>a m</w:t>
      </w:r>
      <w:r w:rsidR="005A5C96" w:rsidRPr="00781397">
        <w:rPr>
          <w:rFonts w:ascii="Times New Roman" w:hAnsi="Times New Roman" w:cs="Times New Roman"/>
          <w:kern w:val="0"/>
          <w:sz w:val="26"/>
          <w:szCs w:val="26"/>
        </w:rPr>
        <w:t>aior proporção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F67FF4" w:rsidRPr="00FC60BB">
        <w:rPr>
          <w:rFonts w:ascii="Times New Roman" w:hAnsi="Times New Roman" w:cs="Times New Roman"/>
          <w:kern w:val="0"/>
          <w:sz w:val="26"/>
          <w:szCs w:val="26"/>
        </w:rPr>
        <w:t>40,1%,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 em relação ao</w:t>
      </w:r>
      <w:r w:rsidR="005A5C96" w:rsidRPr="003B4FF9">
        <w:rPr>
          <w:rFonts w:ascii="Times New Roman" w:hAnsi="Times New Roman" w:cs="Times New Roman"/>
          <w:kern w:val="0"/>
          <w:sz w:val="26"/>
          <w:szCs w:val="26"/>
        </w:rPr>
        <w:t xml:space="preserve"> total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>. A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s burlas por telefone tiveram o maior aumento, com 91 casos registados no ano passado, </w:t>
      </w:r>
      <w:r w:rsidR="00847AD0" w:rsidRPr="00781397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>acréscimo</w:t>
      </w:r>
      <w:r w:rsidR="00F67FF4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de 193,5% em relação a 2020. Entre as burlas </w:t>
      </w:r>
      <w:r w:rsidRPr="00781397">
        <w:rPr>
          <w:rFonts w:ascii="Times New Roman" w:hAnsi="Times New Roman" w:cs="Times New Roman"/>
          <w:i/>
          <w:kern w:val="0"/>
          <w:sz w:val="26"/>
          <w:szCs w:val="26"/>
        </w:rPr>
        <w:t>on-line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1236EC" w:rsidRPr="00977DA2">
        <w:rPr>
          <w:rFonts w:ascii="Times New Roman" w:hAnsi="Times New Roman" w:cs="Times New Roman"/>
          <w:kern w:val="0"/>
          <w:sz w:val="26"/>
          <w:szCs w:val="26"/>
        </w:rPr>
        <w:t xml:space="preserve"> 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006C2D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burla de namoro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on-line</w:t>
      </w:r>
      <w:r w:rsidR="00006C2D" w:rsidRPr="00977DA2">
        <w:rPr>
          <w:rFonts w:ascii="Times New Roman" w:hAnsi="Times New Roman" w:cs="Times New Roman"/>
          <w:kern w:val="0"/>
          <w:sz w:val="26"/>
          <w:szCs w:val="26"/>
        </w:rPr>
        <w:t xml:space="preserve">”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="001236EC" w:rsidRPr="00781397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burla em apostas ilegais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="00847AD0" w:rsidRPr="004D2F5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conhecida como “Sha zhu pan”</w:t>
      </w:r>
      <w:r w:rsidR="00847AD0" w:rsidRPr="00781397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são os mais comuns. Os dois tipos de casos têm métodos semelhantes. 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>O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fraudador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estabelece 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>primeiro</w:t>
      </w:r>
      <w:r w:rsidR="00F47FF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relacionamento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on-line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de namoro com a vítima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ou </w:t>
      </w:r>
      <w:r w:rsidR="00C00A1A" w:rsidRPr="003B4FF9">
        <w:rPr>
          <w:rFonts w:ascii="Times New Roman" w:hAnsi="Times New Roman" w:cs="Times New Roman"/>
          <w:kern w:val="0"/>
          <w:sz w:val="26"/>
          <w:szCs w:val="26"/>
        </w:rPr>
        <w:t>de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frauda a 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sua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>confiança</w:t>
      </w:r>
      <w:r w:rsidR="00C00A1A" w:rsidRPr="00781397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fingindo ser 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talento profissional para 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lhe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pedir 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dinheiro 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>emprestado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ou engan</w:t>
      </w:r>
      <w:r w:rsidR="003B4FF9">
        <w:rPr>
          <w:rFonts w:ascii="Times New Roman" w:hAnsi="Times New Roman" w:cs="Times New Roman"/>
          <w:kern w:val="0"/>
          <w:sz w:val="26"/>
          <w:szCs w:val="26"/>
        </w:rPr>
        <w:t>a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 xml:space="preserve"> a vítima convencendo-a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67FF4">
        <w:rPr>
          <w:rFonts w:ascii="Times New Roman" w:hAnsi="Times New Roman" w:cs="Times New Roman"/>
          <w:kern w:val="0"/>
          <w:sz w:val="26"/>
          <w:szCs w:val="26"/>
        </w:rPr>
        <w:t>investir</w:t>
      </w:r>
      <w:r w:rsidR="00C00A1A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por várias razões, e rapidamente 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foge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depois de 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>ob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ter sucesso. Nas burlas telefónicas, os fraudadores muitas vezes fingem ser funcionários do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G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overno de Macau </w:t>
      </w:r>
      <w:r w:rsidR="003B4FF9">
        <w:rPr>
          <w:rFonts w:ascii="Times New Roman" w:hAnsi="Times New Roman" w:cs="Times New Roman"/>
          <w:kern w:val="0"/>
          <w:sz w:val="26"/>
          <w:szCs w:val="26"/>
        </w:rPr>
        <w:t>ou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das regiões vizinhas, do serviço de atendimento ao cliente d</w:t>
      </w:r>
      <w:r w:rsidR="003B4FF9">
        <w:rPr>
          <w:rFonts w:ascii="Times New Roman" w:hAnsi="Times New Roman" w:cs="Times New Roman"/>
          <w:kern w:val="0"/>
          <w:sz w:val="26"/>
          <w:szCs w:val="26"/>
        </w:rPr>
        <w:t>e uma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plataforma de compras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C00A1A" w:rsidRPr="003B4FF9">
        <w:rPr>
          <w:rFonts w:ascii="Times New Roman" w:hAnsi="Times New Roman" w:cs="Times New Roman"/>
          <w:kern w:val="0"/>
          <w:sz w:val="26"/>
          <w:szCs w:val="26"/>
        </w:rPr>
        <w:t xml:space="preserve">ou 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>d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>e um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banco, 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>entre outros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alegando falsamente que a vítima está envolvida em actos ilegais ou tem problemas com compras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ou </w:t>
      </w:r>
      <w:r w:rsidR="00C00A1A" w:rsidRPr="003B4FF9">
        <w:rPr>
          <w:rFonts w:ascii="Times New Roman" w:hAnsi="Times New Roman" w:cs="Times New Roman"/>
          <w:kern w:val="0"/>
          <w:sz w:val="26"/>
          <w:szCs w:val="26"/>
        </w:rPr>
        <w:t xml:space="preserve">com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contas bancárias, com </w:t>
      </w:r>
      <w:r w:rsidR="00C00A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finalidade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de </w:t>
      </w:r>
      <w:r w:rsidR="00327C9E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defraudar a vítima para obter os seus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dados pessoais e </w:t>
      </w:r>
      <w:r w:rsidR="00327C9E" w:rsidRPr="00977DA2">
        <w:rPr>
          <w:rFonts w:ascii="Times New Roman" w:hAnsi="Times New Roman" w:cs="Times New Roman"/>
          <w:kern w:val="0"/>
          <w:sz w:val="26"/>
          <w:szCs w:val="26"/>
        </w:rPr>
        <w:t xml:space="preserve">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informações da conta bancária, ou solicitar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>directamente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à vítima que transfira dinheiro para a conta do fraudador</w:t>
      </w:r>
      <w:r w:rsidR="00E60754" w:rsidRPr="00977DA2">
        <w:rPr>
          <w:rFonts w:ascii="Times New Roman" w:hAnsi="Times New Roman" w:cs="Times New Roman"/>
          <w:kern w:val="0"/>
          <w:sz w:val="26"/>
          <w:szCs w:val="26"/>
        </w:rPr>
        <w:t>. Acresce que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as burlas por telefone </w:t>
      </w:r>
      <w:r w:rsidR="002477E9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adivinha quem eu sou</w:t>
      </w:r>
      <w:r w:rsidR="002477E9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que já </w:t>
      </w:r>
      <w:r w:rsidR="00E60754" w:rsidRPr="00977DA2">
        <w:rPr>
          <w:rFonts w:ascii="Times New Roman" w:hAnsi="Times New Roman" w:cs="Times New Roman"/>
          <w:kern w:val="0"/>
          <w:sz w:val="26"/>
          <w:szCs w:val="26"/>
        </w:rPr>
        <w:t xml:space="preserve">haviam reduzido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significativamente, também aumentaram novamente no ano passado. A razão pela qual os vigaristas </w:t>
      </w:r>
      <w:r w:rsidR="006572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obtêm um grande sucesso </w:t>
      </w:r>
      <w:r w:rsidR="00327C9E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está </w:t>
      </w:r>
      <w:r w:rsidR="006572F9" w:rsidRPr="00977DA2">
        <w:rPr>
          <w:rFonts w:ascii="Times New Roman" w:hAnsi="Times New Roman" w:cs="Times New Roman"/>
          <w:kern w:val="0"/>
          <w:sz w:val="26"/>
          <w:szCs w:val="26"/>
        </w:rPr>
        <w:t>ligada, principalmente,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às constantes mudanças </w:t>
      </w:r>
      <w:r w:rsidR="00E60754" w:rsidRPr="00977DA2">
        <w:rPr>
          <w:rFonts w:ascii="Times New Roman" w:hAnsi="Times New Roman" w:cs="Times New Roman"/>
          <w:kern w:val="0"/>
          <w:sz w:val="26"/>
          <w:szCs w:val="26"/>
        </w:rPr>
        <w:t xml:space="preserve">dos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seus métodos criminais e à falta de prevenção por parte do público. </w:t>
      </w:r>
      <w:r w:rsidR="003B4FF9">
        <w:rPr>
          <w:rFonts w:ascii="Times New Roman" w:hAnsi="Times New Roman" w:cs="Times New Roman"/>
          <w:kern w:val="0"/>
          <w:sz w:val="26"/>
          <w:szCs w:val="26"/>
        </w:rPr>
        <w:t xml:space="preserve">Por estas razões 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a P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olícia promove activamente o trabalho antifraude através do modelo de “combinação de acções de sensibilização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offline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” e 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“acções de sensibilização simultâneas de contacto e sem contacto”, 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tendo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realizado 164 palestras e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workshops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prevenção contra os crimes em 2021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>, que contaram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 mais de 16.000 participantes. 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>Em paralelo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um total de 322 informações antifraude ou vídeos curtos antifraude foram lançados no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We</w:t>
      </w:r>
      <w:r w:rsidR="00C81EBE">
        <w:rPr>
          <w:rFonts w:ascii="Times New Roman" w:hAnsi="Times New Roman" w:cs="Times New Roman"/>
          <w:i/>
          <w:kern w:val="0"/>
          <w:sz w:val="26"/>
          <w:szCs w:val="26"/>
        </w:rPr>
        <w:t>chat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Facebook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Instagram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outras plataformas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="0090695C" w:rsidRPr="004D2F5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para revelar as </w:t>
      </w:r>
      <w:r w:rsidR="00F23903" w:rsidRPr="00781397">
        <w:rPr>
          <w:rFonts w:ascii="Times New Roman" w:hAnsi="Times New Roman" w:cs="Times New Roman"/>
          <w:kern w:val="0"/>
          <w:sz w:val="26"/>
          <w:szCs w:val="26"/>
        </w:rPr>
        <w:t>tácticas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 dos fraudadores e ensinar </w:t>
      </w:r>
      <w:r w:rsidR="006572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técnicas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antifraude ao público. Além disso, a fim de evitar a</w:t>
      </w:r>
      <w:r w:rsidR="006572F9" w:rsidRPr="00F14078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perda</w:t>
      </w:r>
      <w:r w:rsidR="006572F9" w:rsidRPr="00F14078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572F9" w:rsidRPr="00F14078">
        <w:rPr>
          <w:rFonts w:ascii="Times New Roman" w:hAnsi="Times New Roman" w:cs="Times New Roman"/>
          <w:kern w:val="0"/>
          <w:sz w:val="26"/>
          <w:szCs w:val="26"/>
        </w:rPr>
        <w:t>por parte das</w:t>
      </w:r>
      <w:r w:rsidR="006572F9"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vítimas, a P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olícia continuou a cooperar com o sector bancário e </w:t>
      </w:r>
      <w:r w:rsidR="0090695C"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 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a P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das regiões vizinhas para adoptar “medida de alerta para transacções suspeitas” e </w:t>
      </w:r>
      <w:r w:rsidR="00F97882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medidas de suspensão de pagamento de emergência</w:t>
      </w:r>
      <w:r w:rsidR="00F97882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="00C96A03" w:rsidRPr="00977DA2">
        <w:rPr>
          <w:rFonts w:ascii="Times New Roman" w:hAnsi="Times New Roman" w:cs="Times New Roman"/>
          <w:kern w:val="0"/>
          <w:sz w:val="26"/>
          <w:szCs w:val="26"/>
        </w:rPr>
        <w:t>No ano passado f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oram </w:t>
      </w:r>
      <w:r w:rsidR="00C96A03" w:rsidRPr="00977DA2">
        <w:rPr>
          <w:rFonts w:ascii="Times New Roman" w:hAnsi="Times New Roman" w:cs="Times New Roman"/>
          <w:kern w:val="0"/>
          <w:sz w:val="26"/>
          <w:szCs w:val="26"/>
        </w:rPr>
        <w:t>prevenido</w:t>
      </w:r>
      <w:r w:rsidR="006572F9" w:rsidRPr="00977DA2">
        <w:rPr>
          <w:rFonts w:ascii="Times New Roman" w:hAnsi="Times New Roman" w:cs="Times New Roman"/>
          <w:kern w:val="0"/>
          <w:sz w:val="26"/>
          <w:szCs w:val="26"/>
        </w:rPr>
        <w:t xml:space="preserve">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17 casos e </w:t>
      </w:r>
      <w:r w:rsidR="00C96A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suspenso o pagamento 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12 casos, envolvendo um montante de 1,27 milhões e 490 mil patacas.</w:t>
      </w:r>
    </w:p>
    <w:p w14:paraId="138C7344" w14:textId="2F1D025C" w:rsidR="00DF140F" w:rsidRPr="00977DA2" w:rsidRDefault="00DF140F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No combate aos crimes de imigração ilegal, o “mecanismo de prevenção conjunto relativo à imigração ilegal”</w:t>
      </w:r>
      <w:r w:rsidR="00781397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 estabelecido sob a liderança da Secretaria d</w:t>
      </w:r>
      <w:r w:rsidR="0090695C" w:rsidRPr="00781397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 Segurança</w:t>
      </w:r>
      <w:r w:rsidR="00781397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 e o “Sistema de Monitorização Marítima Inteligente”</w:t>
      </w:r>
      <w:r w:rsidR="0090695C" w:rsidRPr="00781397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81397">
        <w:rPr>
          <w:rFonts w:ascii="Times New Roman" w:hAnsi="Times New Roman" w:cs="Times New Roman"/>
          <w:kern w:val="0"/>
          <w:sz w:val="26"/>
          <w:szCs w:val="26"/>
        </w:rPr>
        <w:t xml:space="preserve"> introduzido pelos SA</w:t>
      </w:r>
      <w:r w:rsidR="0090695C" w:rsidRPr="007C3E24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 xml:space="preserve"> continuaram a desempenhar um papel </w:t>
      </w:r>
      <w:r w:rsidR="00781397">
        <w:rPr>
          <w:rFonts w:ascii="Times New Roman" w:hAnsi="Times New Roman" w:cs="Times New Roman"/>
          <w:kern w:val="0"/>
          <w:sz w:val="26"/>
          <w:szCs w:val="26"/>
        </w:rPr>
        <w:t>fulcral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 xml:space="preserve">.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>No decurso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>d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o ano passado, a P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e os SA de Macau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detectaram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um total de 41 casos de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 xml:space="preserve">prestação de auxílio à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imigração ilegal, mais um caso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>do que em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2020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 xml:space="preserve">. Foram detidos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50 </w:t>
      </w:r>
      <w:r w:rsidR="002570F4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cabecilhas</w:t>
      </w:r>
      <w:r w:rsidR="002570F4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uma diminuição de 6 pessoas em relação a 2020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detidos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372 imigrantes ilegais, menos 239 pessoas </w:t>
      </w:r>
      <w:r w:rsidR="008A4DFC" w:rsidRPr="00977DA2">
        <w:rPr>
          <w:rFonts w:ascii="Times New Roman" w:hAnsi="Times New Roman" w:cs="Times New Roman"/>
          <w:kern w:val="0"/>
          <w:sz w:val="26"/>
          <w:szCs w:val="26"/>
        </w:rPr>
        <w:t>do que em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2020. Actualmente, os SA </w:t>
      </w:r>
      <w:r w:rsidR="00C96A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já iniciaram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 construção da segunda fase do “Sistema de Monitorização Marítima Inteligente”. O novo sistema aumentará gradualmente a cobertura e </w:t>
      </w:r>
      <w:r w:rsidR="006E50E4" w:rsidRPr="00977DA2">
        <w:rPr>
          <w:rFonts w:ascii="Times New Roman" w:hAnsi="Times New Roman" w:cs="Times New Roman"/>
          <w:kern w:val="0"/>
          <w:sz w:val="26"/>
          <w:szCs w:val="26"/>
        </w:rPr>
        <w:t>pretende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eliminar os pontos </w:t>
      </w:r>
      <w:r w:rsidR="000A64F8" w:rsidRPr="00977DA2">
        <w:rPr>
          <w:rFonts w:ascii="Times New Roman" w:hAnsi="Times New Roman" w:cs="Times New Roman"/>
          <w:kern w:val="0"/>
          <w:sz w:val="26"/>
          <w:szCs w:val="26"/>
        </w:rPr>
        <w:t>cegos</w:t>
      </w:r>
      <w:r w:rsidR="006E50E4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e melhorar a eficiência da </w:t>
      </w:r>
      <w:r w:rsidR="000A64F8" w:rsidRPr="00977DA2">
        <w:rPr>
          <w:rFonts w:ascii="Times New Roman" w:hAnsi="Times New Roman" w:cs="Times New Roman"/>
          <w:kern w:val="0"/>
          <w:sz w:val="26"/>
          <w:szCs w:val="26"/>
        </w:rPr>
        <w:t xml:space="preserve">execução da lei </w:t>
      </w:r>
      <w:r w:rsidR="00A615F2" w:rsidRPr="00977DA2">
        <w:rPr>
          <w:rFonts w:ascii="Times New Roman" w:hAnsi="Times New Roman" w:cs="Times New Roman"/>
          <w:kern w:val="0"/>
          <w:sz w:val="26"/>
          <w:szCs w:val="26"/>
        </w:rPr>
        <w:t xml:space="preserve">na área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marítima.</w:t>
      </w:r>
    </w:p>
    <w:p w14:paraId="3329EA30" w14:textId="0E5386BE" w:rsidR="00DF140F" w:rsidRPr="00977DA2" w:rsidRDefault="00DF140F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Devido ao impacto contínuo da epidemia, os países e regiões reforçaram as medidas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>antiepidémicas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os voos internacionais foram muito reduzidos ou suspensos. Alguns não residentes de Macau não podem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 xml:space="preserve"> ou não querem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 xml:space="preserve"> regressar aos seus locais de residência </w:t>
      </w:r>
      <w:r w:rsidR="006E50E4" w:rsidRPr="007C3E24">
        <w:rPr>
          <w:rFonts w:ascii="Times New Roman" w:hAnsi="Times New Roman" w:cs="Times New Roman"/>
          <w:kern w:val="0"/>
          <w:sz w:val="26"/>
          <w:szCs w:val="26"/>
        </w:rPr>
        <w:t xml:space="preserve">de origem 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 xml:space="preserve">após 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 xml:space="preserve">o termo da autorização </w:t>
      </w:r>
      <w:r w:rsidRPr="007C3E24">
        <w:rPr>
          <w:rFonts w:ascii="Times New Roman" w:hAnsi="Times New Roman" w:cs="Times New Roman"/>
          <w:kern w:val="0"/>
          <w:sz w:val="26"/>
          <w:szCs w:val="26"/>
        </w:rPr>
        <w:t>do período de permanência, ou</w:t>
      </w:r>
      <w:r w:rsidR="006E50E4" w:rsidRPr="007C3E24">
        <w:rPr>
          <w:rFonts w:ascii="Times New Roman" w:hAnsi="Times New Roman" w:cs="Times New Roman"/>
          <w:kern w:val="0"/>
          <w:sz w:val="26"/>
          <w:szCs w:val="26"/>
        </w:rPr>
        <w:t>, ainda,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temem ser </w:t>
      </w:r>
      <w:r w:rsidR="007C3E24" w:rsidRPr="00AF46E2">
        <w:rPr>
          <w:rFonts w:ascii="Times New Roman" w:hAnsi="Times New Roman" w:cs="Times New Roman"/>
          <w:kern w:val="0"/>
          <w:sz w:val="26"/>
          <w:szCs w:val="26"/>
        </w:rPr>
        <w:t xml:space="preserve">compulsivamente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expulsos quando se apresentam. Conforme 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>expectável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o número de casos relacionados 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 xml:space="preserve">com esta questão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aumentou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o número de imigrantes ilegais </w:t>
      </w:r>
      <w:r w:rsidR="006E50E4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detidos </w:t>
      </w:r>
      <w:r w:rsidR="007C3E24">
        <w:rPr>
          <w:rFonts w:ascii="Times New Roman" w:hAnsi="Times New Roman" w:cs="Times New Roman"/>
          <w:kern w:val="0"/>
          <w:sz w:val="26"/>
          <w:szCs w:val="26"/>
        </w:rPr>
        <w:t>também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. Por exemplo,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no ano passado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registou-se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total de 391 crimes de desobediência,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um aumento de 26,5% em relação a 2020 </w:t>
      </w:r>
      <w:r w:rsidR="00C81EBE">
        <w:rPr>
          <w:rFonts w:ascii="Times New Roman" w:hAnsi="Times New Roman" w:cs="Times New Roman"/>
          <w:kern w:val="0"/>
          <w:sz w:val="26"/>
          <w:szCs w:val="26"/>
        </w:rPr>
        <w:t>(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uma diminuição de 18,2% em relação a 2019</w:t>
      </w:r>
      <w:r w:rsidR="00C81EBE">
        <w:rPr>
          <w:rFonts w:ascii="Times New Roman" w:hAnsi="Times New Roman" w:cs="Times New Roman"/>
          <w:kern w:val="0"/>
          <w:sz w:val="26"/>
          <w:szCs w:val="26"/>
        </w:rPr>
        <w:t>)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. Entre </w:t>
      </w:r>
      <w:r w:rsidR="00020CAC" w:rsidRPr="00977DA2">
        <w:rPr>
          <w:rFonts w:ascii="Times New Roman" w:hAnsi="Times New Roman" w:cs="Times New Roman"/>
          <w:kern w:val="0"/>
          <w:sz w:val="26"/>
          <w:szCs w:val="26"/>
        </w:rPr>
        <w:t>estes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os casos de não apresenta</w:t>
      </w:r>
      <w:r w:rsidR="00020CAC" w:rsidRPr="00977DA2">
        <w:rPr>
          <w:rFonts w:ascii="Times New Roman" w:hAnsi="Times New Roman" w:cs="Times New Roman"/>
          <w:kern w:val="0"/>
          <w:sz w:val="26"/>
          <w:szCs w:val="26"/>
        </w:rPr>
        <w:t>ção</w:t>
      </w:r>
      <w:r w:rsidR="00F47FF0">
        <w:rPr>
          <w:rFonts w:ascii="Times New Roman" w:hAnsi="Times New Roman" w:cs="Times New Roman"/>
          <w:kern w:val="0"/>
          <w:sz w:val="26"/>
          <w:szCs w:val="26"/>
        </w:rPr>
        <w:t xml:space="preserve"> atempada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foram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 xml:space="preserve">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mais altos, com um total de 104 casos; os casos de “aliciamento, auxílio, acolhimento e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emprego </w:t>
      </w:r>
      <w:r w:rsidR="00A615F2" w:rsidRPr="00977DA2">
        <w:rPr>
          <w:rFonts w:ascii="Times New Roman" w:hAnsi="Times New Roman" w:cs="Times New Roman"/>
          <w:kern w:val="0"/>
          <w:sz w:val="26"/>
          <w:szCs w:val="26"/>
        </w:rPr>
        <w:t>ilegal a emigrantes ilegais/indivíduos com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permanência ilegal</w:t>
      </w:r>
      <w:r w:rsidR="00A615F2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apresentaram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uma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tendência de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aumento n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os últimos 2 anos,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em 2021 regist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ou-se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 total de 696 casos, 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representa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um aumento de 73,6% em relação a 2020</w:t>
      </w:r>
      <w:r w:rsidR="00040AF5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um aumento de 104,1% em relação a 2019, dos quais mais de 80% dos casos envolveram o </w:t>
      </w:r>
      <w:r w:rsidR="00C268ED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acolhimento</w:t>
      </w:r>
      <w:r w:rsidR="00C268ED" w:rsidRPr="00977DA2">
        <w:rPr>
          <w:rFonts w:ascii="Times New Roman" w:hAnsi="Times New Roman" w:cs="Times New Roman"/>
          <w:kern w:val="0"/>
          <w:sz w:val="26"/>
          <w:szCs w:val="26"/>
        </w:rPr>
        <w:t>” (</w:t>
      </w:r>
      <w:r w:rsidR="004D45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foram registados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557 casos no total), </w:t>
      </w:r>
      <w:r w:rsidR="004D451A" w:rsidRPr="00977DA2">
        <w:rPr>
          <w:rFonts w:ascii="Times New Roman" w:hAnsi="Times New Roman" w:cs="Times New Roman"/>
          <w:kern w:val="0"/>
          <w:sz w:val="26"/>
          <w:szCs w:val="26"/>
        </w:rPr>
        <w:t>e de entre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600</w:t>
      </w:r>
      <w:r w:rsidR="004D45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 pessoas, 548 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que foram acolhidas </w:t>
      </w:r>
      <w:r w:rsidR="004D451A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estavam em situação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de permanência ilegal.</w:t>
      </w:r>
    </w:p>
    <w:p w14:paraId="6A0A1178" w14:textId="69D33FC0" w:rsidR="00DF140F" w:rsidRPr="00977DA2" w:rsidRDefault="004D451A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>Por estas razões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o </w:t>
      </w:r>
      <w:r w:rsidR="009A557C" w:rsidRPr="00977DA2">
        <w:rPr>
          <w:rFonts w:ascii="Times New Roman" w:hAnsi="Times New Roman" w:cs="Times New Roman"/>
          <w:kern w:val="0"/>
          <w:sz w:val="26"/>
          <w:szCs w:val="26"/>
        </w:rPr>
        <w:t>G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overno da RAEM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adoptou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uma série de medidas, incluindo a comunicação activa com embaixadas e consulados de vários países com o objectivo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obtenção de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assistência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regresso de pessoas retidas 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Macau,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prolongamento do período de permanência de pessoas que não podem regressar aos </w:t>
      </w:r>
      <w:r w:rsidR="00E625C0" w:rsidRPr="00977DA2">
        <w:rPr>
          <w:rFonts w:ascii="Times New Roman" w:hAnsi="Times New Roman" w:cs="Times New Roman"/>
          <w:kern w:val="0"/>
          <w:sz w:val="26"/>
          <w:szCs w:val="26"/>
        </w:rPr>
        <w:t>seus locais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origem, conforme a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s situações. Ao mesmo tempo, a P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olícia também realiza acções de sensibilização e educação através dos meios de comunicação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tradicionais e novos, informando as pessoas 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 xml:space="preserve">visadas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para se apresentar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em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atempadamente, </w:t>
      </w:r>
      <w:r w:rsidR="004A1E7C" w:rsidRPr="00977DA2">
        <w:rPr>
          <w:rFonts w:ascii="Times New Roman" w:hAnsi="Times New Roman" w:cs="Times New Roman"/>
          <w:kern w:val="0"/>
          <w:sz w:val="26"/>
          <w:szCs w:val="26"/>
        </w:rPr>
        <w:t>incentivando-as a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4A1E7C" w:rsidRPr="00977DA2">
        <w:rPr>
          <w:rFonts w:ascii="Times New Roman" w:hAnsi="Times New Roman" w:cs="Times New Roman"/>
          <w:kern w:val="0"/>
          <w:sz w:val="26"/>
          <w:szCs w:val="26"/>
        </w:rPr>
        <w:t xml:space="preserve">expor as suas dificuldades e a pedir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ajuda </w:t>
      </w:r>
      <w:r w:rsidR="004A1E7C" w:rsidRPr="00977DA2">
        <w:rPr>
          <w:rFonts w:ascii="Times New Roman" w:hAnsi="Times New Roman" w:cs="Times New Roman"/>
          <w:kern w:val="0"/>
          <w:sz w:val="26"/>
          <w:szCs w:val="26"/>
        </w:rPr>
        <w:t xml:space="preserve">junto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dos serviços competentes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. A P</w:t>
      </w:r>
      <w:r w:rsidR="004A1E7C" w:rsidRPr="00977DA2">
        <w:rPr>
          <w:rFonts w:ascii="Times New Roman" w:hAnsi="Times New Roman" w:cs="Times New Roman"/>
          <w:kern w:val="0"/>
          <w:sz w:val="26"/>
          <w:szCs w:val="26"/>
        </w:rPr>
        <w:t>olícia</w:t>
      </w:r>
      <w:r w:rsidR="00565BF8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clarifica</w:t>
      </w:r>
      <w:r w:rsidR="00565BF8" w:rsidRPr="00977DA2">
        <w:rPr>
          <w:rFonts w:ascii="Times New Roman" w:hAnsi="Times New Roman" w:cs="Times New Roman"/>
          <w:kern w:val="0"/>
          <w:sz w:val="26"/>
          <w:szCs w:val="26"/>
        </w:rPr>
        <w:t>, ainda,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que 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acolhimento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ou 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contrata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ção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consciente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imigrantes ilegais ou em situação irregular constitu</w:t>
      </w:r>
      <w:r w:rsidR="00565BF8" w:rsidRPr="00977DA2">
        <w:rPr>
          <w:rFonts w:ascii="Times New Roman" w:hAnsi="Times New Roman" w:cs="Times New Roman"/>
          <w:kern w:val="0"/>
          <w:sz w:val="26"/>
          <w:szCs w:val="26"/>
        </w:rPr>
        <w:t>i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crime. Além disso, alguns dos crimes acima referidos estão relacionados com actos ilícitos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, tais como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762B1A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pens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ões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ilega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is</w:t>
      </w:r>
      <w:r w:rsidR="00762B1A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762B1A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trabalho ilega</w:t>
      </w:r>
      <w:r w:rsidR="00B619C6">
        <w:rPr>
          <w:rFonts w:ascii="Times New Roman" w:hAnsi="Times New Roman" w:cs="Times New Roman"/>
          <w:kern w:val="0"/>
          <w:sz w:val="26"/>
          <w:szCs w:val="26"/>
        </w:rPr>
        <w:t>l</w:t>
      </w:r>
      <w:r w:rsidR="00762B1A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 xml:space="preserve">pelo que 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a P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realizou no ano passado 87 operações </w:t>
      </w:r>
      <w:r w:rsidR="00565BF8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combate às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pens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ões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ilega</w:t>
      </w:r>
      <w:r w:rsidR="00161A8C" w:rsidRPr="00977DA2">
        <w:rPr>
          <w:rFonts w:ascii="Times New Roman" w:hAnsi="Times New Roman" w:cs="Times New Roman"/>
          <w:kern w:val="0"/>
          <w:sz w:val="26"/>
          <w:szCs w:val="26"/>
        </w:rPr>
        <w:t>is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 xml:space="preserve">por si,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ou conjunt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amente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com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a Direcção dos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Serviço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Turismo,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 xml:space="preserve">tendo sido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inspecciona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das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987 </w:t>
      </w:r>
      <w:r w:rsidR="00565BF8" w:rsidRPr="00977DA2">
        <w:rPr>
          <w:rFonts w:ascii="Times New Roman" w:hAnsi="Times New Roman" w:cs="Times New Roman"/>
          <w:kern w:val="0"/>
          <w:sz w:val="26"/>
          <w:szCs w:val="26"/>
        </w:rPr>
        <w:t>fracções autónomas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, das quais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8 foram seladas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. N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o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 xml:space="preserve"> combate ao trabalho ilegal, a P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olícia realizou 901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 xml:space="preserve">acções de 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>fiscalizaç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ão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no ano passado, </w:t>
      </w:r>
      <w:r w:rsidR="00F23903" w:rsidRPr="00977DA2">
        <w:rPr>
          <w:rFonts w:ascii="Times New Roman" w:hAnsi="Times New Roman" w:cs="Times New Roman"/>
          <w:kern w:val="0"/>
          <w:sz w:val="26"/>
          <w:szCs w:val="26"/>
        </w:rPr>
        <w:t>inspeccionou</w:t>
      </w:r>
      <w:r w:rsidR="00DF14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3.688 locais e interceptou um total de 353 suspeitos de serem trabalhadores ilegais.</w:t>
      </w:r>
    </w:p>
    <w:p w14:paraId="6DE68E7F" w14:textId="79C085D1" w:rsidR="00DF140F" w:rsidRPr="00977DA2" w:rsidRDefault="00DF140F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O crime informático também é um tipo de crime que continuou a aumentar nos últimos dois anos. Foram registados 800 crimes no ano passado,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o que representa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um aumento de 50,7% em relação a 2020 e um aumento de 196,3% em relação a 2019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. 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ntre </w:t>
      </w:r>
      <w:r w:rsidR="00C13B52" w:rsidRPr="00977DA2">
        <w:rPr>
          <w:rFonts w:ascii="Times New Roman" w:hAnsi="Times New Roman" w:cs="Times New Roman"/>
          <w:kern w:val="0"/>
          <w:sz w:val="26"/>
          <w:szCs w:val="26"/>
        </w:rPr>
        <w:t>estes crimes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utilização de informações de cartão de crédito para consumo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C13B52" w:rsidRPr="004D2F52">
        <w:rPr>
          <w:rFonts w:ascii="Times New Roman" w:hAnsi="Times New Roman" w:cs="Times New Roman"/>
          <w:kern w:val="0"/>
          <w:sz w:val="26"/>
          <w:szCs w:val="26"/>
        </w:rPr>
        <w:t>re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presenta o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maior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número, com um total de 663 casos,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>que se traduz em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82,9% do total dos crimes informáticos, </w:t>
      </w:r>
      <w:r w:rsidR="00B619C6">
        <w:rPr>
          <w:rFonts w:ascii="Times New Roman" w:hAnsi="Times New Roman" w:cs="Times New Roman"/>
          <w:kern w:val="0"/>
          <w:sz w:val="26"/>
          <w:szCs w:val="26"/>
        </w:rPr>
        <w:t xml:space="preserve">e crê-se que a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razão para 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aumento </w:t>
      </w:r>
      <w:r w:rsidR="00B619C6">
        <w:rPr>
          <w:rFonts w:ascii="Times New Roman" w:hAnsi="Times New Roman" w:cs="Times New Roman"/>
          <w:kern w:val="0"/>
          <w:sz w:val="26"/>
          <w:szCs w:val="26"/>
        </w:rPr>
        <w:t>seja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 dependência do público da Internet e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falta de vigilância e alerta</w:t>
      </w:r>
      <w:r w:rsidR="00B619C6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>em resultado d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influência da epidemia. Nesses casos, os criminosos geralmente roubam as informações do cartão de crédito da vítima estabelecendo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websites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falsos, implantando programas de cavalo de Tróia,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>fazendo-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se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passar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por funcionários de atendimento ao cliente do site,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>entre outros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>após o que usam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o cartão de crédito da vítima para fazer compras em outros sites de compras ou 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jogos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>. A fim de aumentar a conscientização do público sobre a preven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ção do crime, a P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olícia realizou 176 seminários sobre prevenção de crimes informáticos e cibercrimes no ano passado, </w:t>
      </w:r>
      <w:r w:rsidR="00E71555" w:rsidRPr="003B4FF9">
        <w:rPr>
          <w:rFonts w:ascii="Times New Roman" w:hAnsi="Times New Roman" w:cs="Times New Roman"/>
          <w:kern w:val="0"/>
          <w:sz w:val="26"/>
          <w:szCs w:val="26"/>
        </w:rPr>
        <w:t>que con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taram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 cerca de 24.000 participantes, e divulgou 267 mensagens sobre prevenção do crime por meio de plataformas </w:t>
      </w:r>
      <w:r w:rsidRPr="00F14078">
        <w:rPr>
          <w:rFonts w:ascii="Times New Roman" w:hAnsi="Times New Roman" w:cs="Times New Roman"/>
          <w:i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e novo</w:t>
      </w:r>
      <w:r w:rsidR="00C1557F" w:rsidRPr="003B4FF9">
        <w:rPr>
          <w:rFonts w:ascii="Times New Roman" w:hAnsi="Times New Roman" w:cs="Times New Roman"/>
          <w:kern w:val="0"/>
          <w:sz w:val="26"/>
          <w:szCs w:val="26"/>
        </w:rPr>
        <w:t>s</w:t>
      </w:r>
      <w:r w:rsidR="00E71555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hyperlink r:id="rId9" w:history="1">
        <w:r w:rsidRPr="00F47FF0">
          <w:rPr>
            <w:rFonts w:ascii="Times New Roman" w:hAnsi="Times New Roman" w:cs="Times New Roman"/>
            <w:i/>
            <w:kern w:val="0"/>
            <w:sz w:val="26"/>
            <w:szCs w:val="26"/>
          </w:rPr>
          <w:t>media</w:t>
        </w:r>
      </w:hyperlink>
      <w:r w:rsidRPr="004D2F52">
        <w:rPr>
          <w:rFonts w:ascii="Times New Roman" w:hAnsi="Times New Roman" w:cs="Times New Roman"/>
          <w:kern w:val="0"/>
          <w:sz w:val="26"/>
          <w:szCs w:val="26"/>
        </w:rPr>
        <w:t>. Além disso, como a maioria desses crimes</w:t>
      </w:r>
      <w:r w:rsidR="006C4460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 xml:space="preserve">tem características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transfronteiriça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>associativas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, a P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olícia de Macau continua a fortalecer o intercâmbio de informaç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>ões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a cooperação com os serviços policiais das regiões vizinhas,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 xml:space="preserve">após o </w:t>
      </w:r>
      <w:r w:rsidR="00C226FE" w:rsidRPr="00F14078">
        <w:rPr>
          <w:rFonts w:ascii="Times New Roman" w:hAnsi="Times New Roman" w:cs="Times New Roman"/>
          <w:kern w:val="0"/>
          <w:sz w:val="26"/>
          <w:szCs w:val="26"/>
        </w:rPr>
        <w:t>sucesso da operação</w:t>
      </w:r>
      <w:r w:rsidR="006C4460" w:rsidRPr="00F14078">
        <w:rPr>
          <w:rFonts w:ascii="Times New Roman" w:hAnsi="Times New Roman" w:cs="Times New Roman"/>
          <w:kern w:val="0"/>
          <w:sz w:val="26"/>
          <w:szCs w:val="26"/>
        </w:rPr>
        <w:t xml:space="preserve"> de 2020</w:t>
      </w:r>
      <w:r w:rsidR="00C226FE"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026C2" w:rsidRPr="009907F5">
        <w:rPr>
          <w:rFonts w:ascii="Times New Roman" w:hAnsi="Times New Roman" w:cs="Times New Roman"/>
          <w:kern w:val="0"/>
          <w:sz w:val="26"/>
          <w:szCs w:val="26"/>
        </w:rPr>
        <w:t xml:space="preserve">denominada </w:t>
      </w:r>
      <w:r w:rsidR="00C226FE" w:rsidRPr="003B4FF9">
        <w:rPr>
          <w:rFonts w:ascii="Times New Roman" w:hAnsi="Times New Roman" w:cs="Times New Roman"/>
          <w:kern w:val="0"/>
          <w:sz w:val="26"/>
          <w:szCs w:val="26"/>
        </w:rPr>
        <w:t>“</w:t>
      </w:r>
      <w:r w:rsidR="00C226FE" w:rsidRPr="00977DA2">
        <w:rPr>
          <w:rFonts w:ascii="Times New Roman" w:hAnsi="Times New Roman" w:cs="Times New Roman"/>
          <w:i/>
          <w:kern w:val="0"/>
          <w:sz w:val="26"/>
          <w:szCs w:val="26"/>
        </w:rPr>
        <w:t>Operation Soaring Star”</w:t>
      </w:r>
      <w:r w:rsidR="006C4460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</w:t>
      </w:r>
      <w:r w:rsidR="00C56D29">
        <w:rPr>
          <w:rFonts w:ascii="Times New Roman" w:hAnsi="Times New Roman" w:cs="Times New Roman"/>
          <w:kern w:val="0"/>
          <w:sz w:val="26"/>
          <w:szCs w:val="26"/>
        </w:rPr>
        <w:t xml:space="preserve">Abril 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Maio e Dezembro 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 xml:space="preserve">foram lançadas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duas operações especiais conjuntas de grande escala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“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Operation Soaring Star 2.0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” e “</w:t>
      </w:r>
      <w:r w:rsidRPr="00977DA2">
        <w:rPr>
          <w:rFonts w:ascii="Times New Roman" w:hAnsi="Times New Roman" w:cs="Times New Roman"/>
          <w:i/>
          <w:kern w:val="0"/>
          <w:sz w:val="26"/>
          <w:szCs w:val="26"/>
        </w:rPr>
        <w:t>Operation Soaring Star 3.0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tendo sido identificado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um total de 4 grupos criminosos transfronteiriços envolvidos em vários casos de burla de cartão de crédito</w:t>
      </w:r>
      <w:r w:rsidR="00C226FE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6026C2">
        <w:rPr>
          <w:rFonts w:ascii="Times New Roman" w:hAnsi="Times New Roman" w:cs="Times New Roman"/>
          <w:kern w:val="0"/>
          <w:sz w:val="26"/>
          <w:szCs w:val="26"/>
        </w:rPr>
        <w:t>foram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 xml:space="preserve"> sucessivamente </w:t>
      </w:r>
      <w:r w:rsidR="00C226FE" w:rsidRPr="00977DA2">
        <w:rPr>
          <w:rFonts w:ascii="Times New Roman" w:hAnsi="Times New Roman" w:cs="Times New Roman"/>
          <w:kern w:val="0"/>
          <w:sz w:val="26"/>
          <w:szCs w:val="26"/>
        </w:rPr>
        <w:t>detidos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30 membros e o montante total envolvido é de cerca de 20 milhões de patacas. </w:t>
      </w:r>
      <w:r w:rsidR="00C226FE" w:rsidRPr="00977DA2">
        <w:rPr>
          <w:rFonts w:ascii="Times New Roman" w:hAnsi="Times New Roman" w:cs="Times New Roman"/>
          <w:kern w:val="0"/>
          <w:sz w:val="26"/>
          <w:szCs w:val="26"/>
        </w:rPr>
        <w:t>Actualmente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as medidas acima referidas 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>alcançaram sucesso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. O número de casos de crimes informáticos nos quatro trimestres de 2021 é de 322, 295, 127 e 56, respectivamente. </w:t>
      </w:r>
      <w:r w:rsidR="006026C2">
        <w:rPr>
          <w:rFonts w:ascii="Times New Roman" w:hAnsi="Times New Roman" w:cs="Times New Roman"/>
          <w:kern w:val="0"/>
          <w:sz w:val="26"/>
          <w:szCs w:val="26"/>
        </w:rPr>
        <w:t xml:space="preserve">Constata-se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que o número de casos caiu significativamente </w:t>
      </w:r>
      <w:r w:rsidR="005D705B" w:rsidRPr="00977DA2">
        <w:rPr>
          <w:rFonts w:ascii="Times New Roman" w:hAnsi="Times New Roman" w:cs="Times New Roman"/>
          <w:kern w:val="0"/>
          <w:sz w:val="26"/>
          <w:szCs w:val="26"/>
        </w:rPr>
        <w:t>a partir d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o terceiro tri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mestre. No futuro, a P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olícia continuará atenta à tendência de desenvolvimento d</w:t>
      </w:r>
      <w:r w:rsidR="00CF0F2C" w:rsidRPr="00977DA2">
        <w:rPr>
          <w:rFonts w:ascii="Times New Roman" w:hAnsi="Times New Roman" w:cs="Times New Roman"/>
          <w:kern w:val="0"/>
          <w:sz w:val="26"/>
          <w:szCs w:val="26"/>
        </w:rPr>
        <w:t>este tipo de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crimes e aderirá a uma estratégia de policiamento que combin</w:t>
      </w:r>
      <w:r w:rsidR="006026C2">
        <w:rPr>
          <w:rFonts w:ascii="Times New Roman" w:hAnsi="Times New Roman" w:cs="Times New Roman"/>
          <w:kern w:val="0"/>
          <w:sz w:val="26"/>
          <w:szCs w:val="26"/>
        </w:rPr>
        <w:t>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prevenção e combate, a fim de reduzir ainda mais </w:t>
      </w:r>
      <w:r w:rsidR="006026C2">
        <w:rPr>
          <w:rFonts w:ascii="Times New Roman" w:hAnsi="Times New Roman" w:cs="Times New Roman"/>
          <w:kern w:val="0"/>
          <w:sz w:val="26"/>
          <w:szCs w:val="26"/>
        </w:rPr>
        <w:t xml:space="preserve">estes tipos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crimes e os prejuízos causados.</w:t>
      </w:r>
    </w:p>
    <w:p w14:paraId="31AB1A9F" w14:textId="6753F755" w:rsidR="00FA63AE" w:rsidRPr="00977DA2" w:rsidRDefault="00FA63AE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lastRenderedPageBreak/>
        <w:t xml:space="preserve">No ano passado registou-se um total de 75 casos de tráfico de droga, um pequeno aumento em comparação com 2020, representando uma subida de 5,6%. </w:t>
      </w:r>
      <w:r w:rsidR="00C226FE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crime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 tráfico de droga em Macau sofreu mudanças significativas nos últimos dois anos, </w:t>
      </w:r>
      <w:r w:rsidR="00D771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as associações </w:t>
      </w:r>
      <w:r w:rsidR="00D771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ligadas ao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tráfico de droga começa</w:t>
      </w:r>
      <w:r w:rsidR="006026C2">
        <w:rPr>
          <w:rFonts w:ascii="Times New Roman" w:hAnsi="Times New Roman" w:cs="Times New Roman"/>
          <w:kern w:val="0"/>
          <w:sz w:val="26"/>
          <w:szCs w:val="26"/>
        </w:rPr>
        <w:t>ram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utilizar as encomendas postais como meio de transporte de droga, </w:t>
      </w:r>
      <w:r w:rsidR="00D771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que se crê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se deve ao reforço </w:t>
      </w:r>
      <w:r w:rsidR="00D771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e maior rigor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das inspecções </w:t>
      </w:r>
      <w:r w:rsidR="00D7710F" w:rsidRPr="00977DA2">
        <w:rPr>
          <w:rFonts w:ascii="Times New Roman" w:hAnsi="Times New Roman" w:cs="Times New Roman"/>
          <w:kern w:val="0"/>
          <w:sz w:val="26"/>
          <w:szCs w:val="26"/>
        </w:rPr>
        <w:t xml:space="preserve">nas entradas e saídas das pessoas de Macau,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desde o surgimento da epidemia. Face a esta situação, a Polícia de Macau tem reforçado a cooperação com os SA, 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 </w:t>
      </w:r>
      <w:r w:rsidR="003A1C25">
        <w:rPr>
          <w:rFonts w:ascii="Times New Roman" w:hAnsi="Times New Roman" w:cs="Times New Roman"/>
          <w:kern w:val="0"/>
          <w:sz w:val="26"/>
          <w:szCs w:val="26"/>
        </w:rPr>
        <w:t xml:space="preserve">os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serviços de correios e 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o sector da logística e de recepção de encomendas, tendo estabelecido um mecanismo de comunicação com as empresas de grande envergadura que prestam serviços de recepção de encomendas e de correios, por forma a prevenir, em conjunto, a entrada de droga em Macau. Além disso, tendo em conta que a maioria dos crimes de tráfico de droga por encomendas postais são de carácter transfronteiriço, a Polícia de Macau continua a reforçar a troca de informações com os serviços responsáveis pela execução da lei das regiões vizinhas, através da participação na operação “Combate aos crimes transfronteiriços”, para desenvolver o trabalho do combate à droga entre Guangdong, Hong Kong e Macau, envidando esforços no combate às referidas actividades. Relativamente às acções de divulgação, em 2021, a Polícia realizou um total de 62 palestras sobre a prevenção dos crimes de droga, contando com mais de 10.000 participações e, conforme a necessidade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foram distribuídos panfletos e cartazes em língua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estrangeira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indivíduos de diferentes etnias. Por outro lado, fo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>i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ainda destacado pessoa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 xml:space="preserve">l para se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deslocar às escolas, entre outros locais frequentados pelos jovens, para realizar um total de 45 acções de divulgaç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>ão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F14078">
        <w:rPr>
          <w:rFonts w:ascii="Times New Roman" w:hAnsi="Times New Roman" w:cs="Times New Roman"/>
          <w:kern w:val="0"/>
          <w:sz w:val="26"/>
          <w:szCs w:val="26"/>
        </w:rPr>
        <w:t xml:space="preserve">contando com mais de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5.000 </w:t>
      </w:r>
      <w:r w:rsidR="00F14078">
        <w:rPr>
          <w:rFonts w:ascii="Times New Roman" w:hAnsi="Times New Roman" w:cs="Times New Roman"/>
          <w:kern w:val="0"/>
          <w:sz w:val="26"/>
          <w:szCs w:val="26"/>
        </w:rPr>
        <w:t>participações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.</w:t>
      </w:r>
    </w:p>
    <w:p w14:paraId="202FAE4F" w14:textId="6587864D" w:rsidR="00FA63AE" w:rsidRPr="00977DA2" w:rsidRDefault="00F86ADA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/>
          <w:kern w:val="0"/>
          <w:sz w:val="26"/>
          <w:szCs w:val="26"/>
        </w:rPr>
        <w:lastRenderedPageBreak/>
        <w:t>No decurso d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>o ano passado, a Polícia usou o “Sistema de Videovigilância em Espaços Públicos de Macau”, vulgarmente conhecido por “Olhos no céu”, para auxiliar a investigação de 3.531 casos</w:t>
      </w:r>
      <w:r w:rsidR="00442ACD">
        <w:rPr>
          <w:rFonts w:ascii="Times New Roman" w:hAnsi="Times New Roman" w:cs="Times New Roman"/>
          <w:kern w:val="0"/>
          <w:sz w:val="26"/>
          <w:szCs w:val="26"/>
        </w:rPr>
        <w:t xml:space="preserve"> ou acidentes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 xml:space="preserve">entre 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os quais alguns casos de criminalidade violenta, </w:t>
      </w:r>
      <w:r w:rsidR="007E1D82" w:rsidRPr="00977DA2">
        <w:rPr>
          <w:rFonts w:ascii="Times New Roman" w:hAnsi="Times New Roman" w:cs="Times New Roman"/>
          <w:kern w:val="0"/>
          <w:sz w:val="26"/>
          <w:szCs w:val="26"/>
        </w:rPr>
        <w:t xml:space="preserve">tendo este sistema tido um 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>efeito</w:t>
      </w:r>
      <w:r w:rsidR="003A4564" w:rsidRPr="00977DA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>significativo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na resolução rápida de </w:t>
      </w:r>
      <w:r w:rsidR="00442ACD">
        <w:rPr>
          <w:rFonts w:ascii="Times New Roman" w:hAnsi="Times New Roman" w:cs="Times New Roman"/>
          <w:kern w:val="0"/>
          <w:sz w:val="26"/>
          <w:szCs w:val="26"/>
        </w:rPr>
        <w:t>3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casos de homicídio. Actualmente, </w:t>
      </w:r>
      <w:r w:rsidR="003A1C25" w:rsidRPr="004C5C2E">
        <w:rPr>
          <w:rFonts w:ascii="Times New Roman" w:hAnsi="Times New Roman" w:cs="Times New Roman"/>
          <w:kern w:val="0"/>
          <w:sz w:val="26"/>
          <w:szCs w:val="26"/>
        </w:rPr>
        <w:t>estão em funcionamento</w:t>
      </w:r>
      <w:r w:rsidR="003A1C25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8B4DBF">
        <w:rPr>
          <w:rFonts w:ascii="Times New Roman" w:hAnsi="Times New Roman" w:cs="Times New Roman"/>
          <w:kern w:val="0"/>
          <w:sz w:val="26"/>
          <w:szCs w:val="26"/>
        </w:rPr>
        <w:t>as quatro primeiras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fase</w:t>
      </w:r>
      <w:r w:rsidR="008B4DBF">
        <w:rPr>
          <w:rFonts w:ascii="Times New Roman" w:hAnsi="Times New Roman" w:cs="Times New Roman"/>
          <w:kern w:val="0"/>
          <w:sz w:val="26"/>
          <w:szCs w:val="26"/>
        </w:rPr>
        <w:t>s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do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 xml:space="preserve"> sistema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“Olhos no céu”, </w:t>
      </w:r>
      <w:r w:rsidR="003A4564" w:rsidRPr="00977DA2">
        <w:rPr>
          <w:rFonts w:ascii="Times New Roman" w:hAnsi="Times New Roman" w:cs="Times New Roman"/>
          <w:kern w:val="0"/>
          <w:sz w:val="26"/>
          <w:szCs w:val="26"/>
        </w:rPr>
        <w:t xml:space="preserve">sendo que 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estão a decorrer 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as obras </w:t>
      </w:r>
      <w:r w:rsidR="003A4564" w:rsidRPr="00977DA2">
        <w:rPr>
          <w:rFonts w:ascii="Times New Roman" w:hAnsi="Times New Roman" w:cs="Times New Roman"/>
          <w:kern w:val="0"/>
          <w:sz w:val="26"/>
          <w:szCs w:val="26"/>
        </w:rPr>
        <w:t xml:space="preserve">da 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>5.</w:t>
      </w:r>
      <w:r w:rsidR="00315C3B" w:rsidRPr="00977DA2">
        <w:rPr>
          <w:rFonts w:ascii="Times New Roman" w:hAnsi="Times New Roman" w:cs="Times New Roman"/>
          <w:kern w:val="0"/>
          <w:sz w:val="26"/>
          <w:szCs w:val="26"/>
        </w:rPr>
        <w:t>ª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fase, 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 xml:space="preserve">prevendo-se que </w:t>
      </w:r>
      <w:r w:rsidR="001C1A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esta fase possa 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>entr</w:t>
      </w:r>
      <w:r w:rsidR="001C1AA3" w:rsidRPr="00977DA2">
        <w:rPr>
          <w:rFonts w:ascii="Times New Roman" w:hAnsi="Times New Roman" w:cs="Times New Roman"/>
          <w:kern w:val="0"/>
          <w:sz w:val="26"/>
          <w:szCs w:val="26"/>
        </w:rPr>
        <w:t>ar</w:t>
      </w:r>
      <w:r w:rsidR="002924CB" w:rsidRPr="00977DA2">
        <w:rPr>
          <w:rFonts w:ascii="Times New Roman" w:hAnsi="Times New Roman" w:cs="Times New Roman"/>
          <w:kern w:val="0"/>
          <w:sz w:val="26"/>
          <w:szCs w:val="26"/>
        </w:rPr>
        <w:t xml:space="preserve"> em funcionamento no decurso de 2023</w:t>
      </w:r>
      <w:r w:rsidR="001C1A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. O objectivo desta fase é </w:t>
      </w:r>
      <w:r w:rsidR="001C1AA3" w:rsidRPr="00F14078">
        <w:rPr>
          <w:rFonts w:ascii="Times New Roman" w:hAnsi="Times New Roman" w:cs="Times New Roman"/>
          <w:kern w:val="0"/>
          <w:sz w:val="26"/>
          <w:szCs w:val="26"/>
        </w:rPr>
        <w:t xml:space="preserve">o </w:t>
      </w:r>
      <w:r w:rsidR="00FA63AE" w:rsidRPr="004D2F52">
        <w:rPr>
          <w:rFonts w:ascii="Times New Roman" w:hAnsi="Times New Roman" w:cs="Times New Roman"/>
          <w:kern w:val="0"/>
          <w:sz w:val="26"/>
          <w:szCs w:val="26"/>
        </w:rPr>
        <w:t>reforç</w:t>
      </w:r>
      <w:r w:rsidR="001C1AA3" w:rsidRPr="00F14078">
        <w:rPr>
          <w:rFonts w:ascii="Times New Roman" w:hAnsi="Times New Roman" w:cs="Times New Roman"/>
          <w:kern w:val="0"/>
          <w:sz w:val="26"/>
          <w:szCs w:val="26"/>
        </w:rPr>
        <w:t>o</w:t>
      </w:r>
      <w:r w:rsidR="00FA63AE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C1AA3" w:rsidRPr="00F14078">
        <w:rPr>
          <w:rFonts w:ascii="Times New Roman" w:hAnsi="Times New Roman" w:cs="Times New Roman"/>
          <w:kern w:val="0"/>
          <w:sz w:val="26"/>
          <w:szCs w:val="26"/>
        </w:rPr>
        <w:t>d</w:t>
      </w:r>
      <w:r w:rsidR="00FA63AE" w:rsidRPr="004D2F52">
        <w:rPr>
          <w:rFonts w:ascii="Times New Roman" w:hAnsi="Times New Roman" w:cs="Times New Roman"/>
          <w:kern w:val="0"/>
          <w:sz w:val="26"/>
          <w:szCs w:val="26"/>
        </w:rPr>
        <w:t>a cobertura</w:t>
      </w:r>
      <w:r w:rsidR="00FA63AE" w:rsidRPr="003B4FF9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1C1AA3" w:rsidRPr="00977DA2">
        <w:rPr>
          <w:rFonts w:ascii="Times New Roman" w:hAnsi="Times New Roman" w:cs="Times New Roman"/>
          <w:kern w:val="0"/>
          <w:sz w:val="26"/>
          <w:szCs w:val="26"/>
        </w:rPr>
        <w:t xml:space="preserve">em 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determinadas zonas, com vista a </w:t>
      </w:r>
      <w:r w:rsidR="001C1AA3" w:rsidRPr="00F14078">
        <w:rPr>
          <w:rFonts w:ascii="Times New Roman" w:hAnsi="Times New Roman" w:cs="Times New Roman"/>
          <w:kern w:val="0"/>
          <w:sz w:val="26"/>
          <w:szCs w:val="26"/>
        </w:rPr>
        <w:t>aumentar</w:t>
      </w:r>
      <w:r w:rsidR="001C1AA3" w:rsidRPr="004D2F52">
        <w:rPr>
          <w:rFonts w:ascii="Times New Roman" w:hAnsi="Times New Roman" w:cs="Times New Roman"/>
          <w:kern w:val="0"/>
          <w:sz w:val="26"/>
          <w:szCs w:val="26"/>
        </w:rPr>
        <w:t xml:space="preserve"> </w:t>
      </w:r>
      <w:r w:rsidR="00FA63AE" w:rsidRPr="003B4FF9">
        <w:rPr>
          <w:rFonts w:ascii="Times New Roman" w:hAnsi="Times New Roman" w:cs="Times New Roman"/>
          <w:kern w:val="0"/>
          <w:sz w:val="26"/>
          <w:szCs w:val="26"/>
        </w:rPr>
        <w:t xml:space="preserve">a eficácia da utilização do sistema, </w:t>
      </w:r>
      <w:r w:rsidR="001C1AA3" w:rsidRPr="00977DA2">
        <w:rPr>
          <w:rFonts w:ascii="Times New Roman" w:hAnsi="Times New Roman" w:cs="Times New Roman"/>
          <w:kern w:val="0"/>
          <w:sz w:val="26"/>
          <w:szCs w:val="26"/>
        </w:rPr>
        <w:t>reforçando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capacidade de prevenção e controlo em geral da segurança de Macau.</w:t>
      </w:r>
    </w:p>
    <w:p w14:paraId="667B60AF" w14:textId="3F3E54FB" w:rsidR="00FA63AE" w:rsidRPr="00977DA2" w:rsidRDefault="008B4DBF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spacing w:val="-2"/>
          <w:kern w:val="0"/>
          <w:sz w:val="26"/>
          <w:szCs w:val="26"/>
        </w:rPr>
      </w:pPr>
      <w:r>
        <w:rPr>
          <w:rFonts w:ascii="Times New Roman" w:hAnsi="Times New Roman" w:cs="Times New Roman"/>
          <w:spacing w:val="-2"/>
          <w:kern w:val="0"/>
          <w:sz w:val="26"/>
          <w:szCs w:val="26"/>
        </w:rPr>
        <w:t>No decurso d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 ano passado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 Polícia autuou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um total de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291 </w:t>
      </w:r>
      <w:r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casos de 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>infracções de taxistas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registando um aumento de 144 casos em comparação com 2020, mas uma redução de 2.881 casos em comparação com 2019. De facto, desde a entrada em vigor, em Junho de 2019, 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d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 “Regime jurídico do transporte de passageiros em automóveis ligeiros de aluguer”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vulgarmente conhecido por “nova lei de táxis”, 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regista-se uma grande diminuição d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as infracções em comparação com o passado, 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e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os números 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mantêm-se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relativamente baixos. </w:t>
      </w:r>
      <w:r w:rsidR="002C6C6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Acredita-se que o aumento, em 2021, do número das infracções de taxistas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se deve 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ao retomar gradual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da vida quotidiana 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da sociedade e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ao aumento das deslocações. Em paralelo, os dados demonstram que 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 aumento d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as infracções 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respeita, essencialmente, a comportamentos inapropriados ou desrespeitosos e descorteses para com os clientes, que têm apresentado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reclamações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pelo que,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face a esta situação, a Polícia 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aplicou as devidas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sanções nos termos da lei e, em articulação com a Direcção dos Serviços para os Assuntos de Tráfego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realiz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ou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acções educacionais e de sensibilização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aconselha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>ndo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os taxistas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para se m</w:t>
      </w:r>
      <w:r w:rsidR="004D226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ante</w:t>
      </w:r>
      <w:r w:rsidR="009C632A">
        <w:rPr>
          <w:rFonts w:ascii="Times New Roman" w:hAnsi="Times New Roman" w:cs="Times New Roman"/>
          <w:spacing w:val="-2"/>
          <w:kern w:val="0"/>
          <w:sz w:val="26"/>
          <w:szCs w:val="26"/>
        </w:rPr>
        <w:t>rem</w:t>
      </w:r>
      <w:r w:rsidR="0027313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delicados com os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lastRenderedPageBreak/>
        <w:t>clientes. No futuro, a Polícia continua</w:t>
      </w:r>
      <w:r w:rsidR="004D226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rá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 executar </w:t>
      </w:r>
      <w:r w:rsidR="000D068F" w:rsidRPr="00987491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 lei 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com </w:t>
      </w:r>
      <w:r w:rsidR="000D068F" w:rsidRPr="00987491">
        <w:rPr>
          <w:rFonts w:ascii="Times New Roman" w:hAnsi="Times New Roman" w:cs="Times New Roman"/>
          <w:spacing w:val="-2"/>
          <w:kern w:val="0"/>
          <w:sz w:val="26"/>
          <w:szCs w:val="26"/>
        </w:rPr>
        <w:t>rigor</w:t>
      </w:r>
      <w:r w:rsidR="00FA63AE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 por forma a assegurar a segurança e a facilidade das deslocações do público.</w:t>
      </w:r>
    </w:p>
    <w:p w14:paraId="75BBCEB0" w14:textId="7DFFB900" w:rsidR="00FA63AE" w:rsidRPr="00977DA2" w:rsidRDefault="00FA63AE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spacing w:val="-2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Através da análise dos dados dos crimes registados </w:t>
      </w:r>
      <w:r w:rsidR="006365B0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entre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2019 </w:t>
      </w:r>
      <w:r w:rsidR="006365B0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2021, sob a influência da epidemia,</w:t>
      </w:r>
      <w:r w:rsidR="001C1AA3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em Macau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 prática dos crimes em geral sofreu </w:t>
      </w:r>
      <w:r w:rsidR="001C1AA3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uma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mudança</w:t>
      </w:r>
      <w:r w:rsidR="001C1AA3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gradual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tendo diminuído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 maioria do tipo de crimes que carecem de contacto tradicional</w:t>
      </w:r>
      <w:r w:rsidR="005D5733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="006365B0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pelo contrário, os crimes cibernéticos </w:t>
      </w:r>
      <w:r w:rsidR="006365B0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têm vindo a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aumentar 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consecutiva</w:t>
      </w:r>
      <w:r w:rsidR="003C1C7C">
        <w:rPr>
          <w:rFonts w:ascii="Times New Roman" w:hAnsi="Times New Roman" w:cs="Times New Roman"/>
          <w:spacing w:val="-2"/>
          <w:kern w:val="0"/>
          <w:sz w:val="26"/>
          <w:szCs w:val="26"/>
        </w:rPr>
        <w:t>mente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rapidamente nos últimos dois anos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. A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razão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principal desta tendência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assenta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em dois aspectos: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por um lado,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 estilo de vida do público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tem vindo a sofrer mudanças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já que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as pessoas gastam mais tempo nas compras </w:t>
      </w:r>
      <w:r w:rsidRPr="00F14078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conhecer amigos via </w:t>
      </w:r>
      <w:r w:rsidRPr="003C1C7C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internet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ou em outras actividades de lazer e divertimento </w:t>
      </w:r>
      <w:r w:rsidRPr="00F14078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online</w:t>
      </w:r>
      <w:r w:rsidRPr="004D2F5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</w:t>
      </w:r>
      <w:r w:rsidR="00C321E9" w:rsidRPr="003B4FF9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o que facilita a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prática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de crimes pelo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s criminosos</w:t>
      </w:r>
      <w:r w:rsidR="003C1C7C">
        <w:rPr>
          <w:rFonts w:ascii="Times New Roman" w:hAnsi="Times New Roman" w:cs="Times New Roman"/>
          <w:spacing w:val="-2"/>
          <w:kern w:val="0"/>
          <w:sz w:val="26"/>
          <w:szCs w:val="26"/>
        </w:rPr>
        <w:t>;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3C1C7C">
        <w:rPr>
          <w:rFonts w:ascii="Times New Roman" w:hAnsi="Times New Roman" w:cs="Times New Roman"/>
          <w:spacing w:val="-2"/>
          <w:kern w:val="0"/>
          <w:sz w:val="26"/>
          <w:szCs w:val="26"/>
        </w:rPr>
        <w:t>p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or outro lado, com as medidas de prevenção epidémica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adoptadas por vários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países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,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reduz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iu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-se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drasticamente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 movimentação das pessoas, </w:t>
      </w:r>
      <w:r w:rsidR="00C321E9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pelo que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após a prática do crime, é difícil para os criminosos ocultarem a sua identidade e o seu paradeiro, </w:t>
      </w:r>
      <w:r w:rsidR="00951F41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colocando-os em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grande risco, contudo o carácter transfronteiriço e o alto anonimato da </w:t>
      </w:r>
      <w:r w:rsidRPr="003C1C7C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internet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é muito vantajoso para os criminosos </w:t>
      </w:r>
      <w:r w:rsidR="00951F41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e permite-lhes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esconderem</w:t>
      </w:r>
      <w:r w:rsidR="00951F41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-se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. Face às tendências das mudanças da prática do crime em geral</w:t>
      </w:r>
      <w:r w:rsidR="005922FD" w:rsidRPr="00F14078">
        <w:rPr>
          <w:rFonts w:ascii="Times New Roman" w:hAnsi="Times New Roman" w:cs="Times New Roman"/>
          <w:spacing w:val="-2"/>
          <w:kern w:val="0"/>
          <w:sz w:val="26"/>
          <w:szCs w:val="26"/>
        </w:rPr>
        <w:t>, em</w:t>
      </w:r>
      <w:r w:rsidRPr="004D2F5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Macau</w:t>
      </w:r>
      <w:r w:rsidRPr="003B4FF9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a Polícia 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fez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ajustamentos às medidas implementadas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. P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or um lado, aproveit</w:t>
      </w:r>
      <w:r w:rsidR="005922FD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ou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 grande atenção das 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plataformas </w:t>
      </w:r>
      <w:r w:rsidR="00A636D7" w:rsidRPr="00977DA2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online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e dos </w:t>
      </w:r>
      <w:r w:rsidRPr="003C1C7C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m</w:t>
      </w:r>
      <w:r w:rsidR="00A636D7" w:rsidRPr="003C1C7C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e</w:t>
      </w:r>
      <w:r w:rsidRPr="003C1C7C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dia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Pr="003B4FF9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para desenvolver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acções educacionais e de sensibilização, em cooperação com os demais serviços governamentais, associações, associações dos moradores e escola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, com vista a revelar os novos </w:t>
      </w:r>
      <w:r w:rsidRPr="00F14078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mod</w:t>
      </w:r>
      <w:r w:rsidR="00A636D7" w:rsidRPr="00F14078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>i</w:t>
      </w:r>
      <w:r w:rsidRPr="00F14078">
        <w:rPr>
          <w:rFonts w:ascii="Times New Roman" w:hAnsi="Times New Roman" w:cs="Times New Roman"/>
          <w:i/>
          <w:spacing w:val="-2"/>
          <w:kern w:val="0"/>
          <w:sz w:val="26"/>
          <w:szCs w:val="26"/>
        </w:rPr>
        <w:t xml:space="preserve"> operandi</w:t>
      </w:r>
      <w:r w:rsidRPr="004D2F5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junto do público, por forma a reforçar a sua consciência de prevenção </w:t>
      </w:r>
      <w:r w:rsidR="00A636D7" w:rsidRPr="003B4FF9">
        <w:rPr>
          <w:rFonts w:ascii="Times New Roman" w:hAnsi="Times New Roman" w:cs="Times New Roman"/>
          <w:spacing w:val="-2"/>
          <w:kern w:val="0"/>
          <w:sz w:val="26"/>
          <w:szCs w:val="26"/>
        </w:rPr>
        <w:t>d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o crime e ensinar-lhe técnicas d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e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prevenção </w:t>
      </w:r>
      <w:r w:rsidR="00A636D7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do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crime, incentivando os cidadãos a denunciarem </w:t>
      </w:r>
      <w:r w:rsidR="000D068F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crimes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e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facultarem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pistas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à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Polícia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. P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or outro lado,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são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reforçadas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as inspecções, nomeadamente nos casinos e nos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seus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arredores, entre outros locais com alta ocorrência de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lastRenderedPageBreak/>
        <w:t>crimes, continua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ndo-se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 implementar o conceito de prevenção e combate ao crime de “informações lideram a investigação criminal”, a recolher, por iniciativa própria, as informações relacionados com crimes, a estudar aprofundadamente os dados dos casos, a reforçar a troca de informações </w:t>
      </w:r>
      <w:r w:rsidR="003D282F"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com as 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>regiões vizinhas</w:t>
      </w:r>
      <w:r w:rsidR="004B1736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e</w:t>
      </w:r>
      <w:r w:rsidRPr="00977DA2">
        <w:rPr>
          <w:rFonts w:ascii="Times New Roman" w:hAnsi="Times New Roman" w:cs="Times New Roman"/>
          <w:spacing w:val="-2"/>
          <w:kern w:val="0"/>
          <w:sz w:val="26"/>
          <w:szCs w:val="26"/>
        </w:rPr>
        <w:t xml:space="preserve"> a desenvolver oportunamente operações conjuntas, procurando eliminar os crimes transfronteiriços na origem.</w:t>
      </w:r>
    </w:p>
    <w:p w14:paraId="1A5E9280" w14:textId="11F32ABB" w:rsidR="00FA63AE" w:rsidRPr="00977DA2" w:rsidRDefault="00FA63AE" w:rsidP="00FA63AE">
      <w:pPr>
        <w:pStyle w:val="a7"/>
        <w:widowControl/>
        <w:numPr>
          <w:ilvl w:val="0"/>
          <w:numId w:val="1"/>
        </w:numPr>
        <w:overflowPunct w:val="0"/>
        <w:spacing w:after="240" w:line="500" w:lineRule="exact"/>
        <w:ind w:leftChars="0" w:left="426" w:hanging="425"/>
        <w:jc w:val="both"/>
        <w:rPr>
          <w:rFonts w:ascii="Times New Roman" w:hAnsi="Times New Roman" w:cs="Times New Roman"/>
          <w:kern w:val="0"/>
          <w:sz w:val="26"/>
          <w:szCs w:val="26"/>
        </w:rPr>
      </w:pPr>
      <w:r w:rsidRPr="00977DA2">
        <w:rPr>
          <w:rFonts w:ascii="Times New Roman" w:hAnsi="Times New Roman" w:cs="Times New Roman"/>
          <w:kern w:val="0"/>
          <w:sz w:val="26"/>
          <w:szCs w:val="26"/>
        </w:rPr>
        <w:t>No futuro, a autoridade</w:t>
      </w:r>
      <w:r w:rsidRPr="004D2F52">
        <w:rPr>
          <w:rFonts w:ascii="Times New Roman" w:hAnsi="Times New Roman" w:cs="Times New Roman"/>
          <w:kern w:val="0"/>
          <w:sz w:val="26"/>
          <w:szCs w:val="26"/>
        </w:rPr>
        <w:t xml:space="preserve"> da segurança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continua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articular totalmente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sua actuação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com as dispo</w:t>
      </w:r>
      <w:r w:rsidR="003C1C7C">
        <w:rPr>
          <w:rFonts w:ascii="Times New Roman" w:hAnsi="Times New Roman" w:cs="Times New Roman"/>
          <w:kern w:val="0"/>
          <w:sz w:val="26"/>
          <w:szCs w:val="26"/>
        </w:rPr>
        <w:t>sições da prevenção epidémica implementadas pelo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Governo da RAEM,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persistir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n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a estratégia da prevenção epidémica de “prevenir casos importados, evitar o ressurgimento de casos internos” e, em simultâneo,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aderir aos três novos conceitos de policiamento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: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“policiamento activo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,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policiamento comunitário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”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 </w:t>
      </w:r>
      <w:r w:rsidR="003D282F" w:rsidRPr="00977DA2">
        <w:rPr>
          <w:rFonts w:ascii="Times New Roman" w:hAnsi="Times New Roman" w:cs="Times New Roman"/>
          <w:kern w:val="0"/>
          <w:sz w:val="26"/>
          <w:szCs w:val="26"/>
        </w:rPr>
        <w:t>“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policiamento nas relações públicas”, bem </w:t>
      </w:r>
      <w:r w:rsidR="00F6341F" w:rsidRPr="00977DA2">
        <w:rPr>
          <w:rFonts w:ascii="Times New Roman" w:hAnsi="Times New Roman" w:cs="Times New Roman"/>
          <w:kern w:val="0"/>
          <w:sz w:val="26"/>
          <w:szCs w:val="26"/>
        </w:rPr>
        <w:t>como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continua a reforçar a prevenção e </w:t>
      </w:r>
      <w:r w:rsidR="00F6341F" w:rsidRPr="00977DA2">
        <w:rPr>
          <w:rFonts w:ascii="Times New Roman" w:hAnsi="Times New Roman" w:cs="Times New Roman"/>
          <w:kern w:val="0"/>
          <w:sz w:val="26"/>
          <w:szCs w:val="26"/>
        </w:rPr>
        <w:t xml:space="preserve">o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combate dos diferentes tipos de actos ilícitos, </w:t>
      </w:r>
      <w:r w:rsidR="00F6341F" w:rsidRPr="00977DA2">
        <w:rPr>
          <w:rFonts w:ascii="Times New Roman" w:hAnsi="Times New Roman" w:cs="Times New Roman"/>
          <w:kern w:val="0"/>
          <w:sz w:val="26"/>
          <w:szCs w:val="26"/>
        </w:rPr>
        <w:t xml:space="preserve">a 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avaliar e analisar, de forma constante, a situação da segurança e a tendência das mudanças da prática d</w:t>
      </w:r>
      <w:r w:rsidR="0028055E" w:rsidRPr="00F14078">
        <w:rPr>
          <w:rFonts w:ascii="Times New Roman" w:hAnsi="Times New Roman" w:cs="Times New Roman"/>
          <w:kern w:val="0"/>
          <w:sz w:val="26"/>
          <w:szCs w:val="26"/>
        </w:rPr>
        <w:t>e</w:t>
      </w:r>
      <w:r w:rsidRPr="003B4FF9">
        <w:rPr>
          <w:rFonts w:ascii="Times New Roman" w:hAnsi="Times New Roman" w:cs="Times New Roman"/>
          <w:kern w:val="0"/>
          <w:sz w:val="26"/>
          <w:szCs w:val="26"/>
        </w:rPr>
        <w:t xml:space="preserve"> crime</w:t>
      </w:r>
      <w:r w:rsidR="0028055E" w:rsidRPr="00977DA2">
        <w:rPr>
          <w:rFonts w:ascii="Times New Roman" w:hAnsi="Times New Roman" w:cs="Times New Roman"/>
          <w:kern w:val="0"/>
          <w:sz w:val="26"/>
          <w:szCs w:val="26"/>
        </w:rPr>
        <w:t>s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>, de modo a ajustar oportunamente as disposições policiais e as estratégias da execução da lei, assegurando a prosperidade e</w:t>
      </w:r>
      <w:r w:rsidR="00F6341F" w:rsidRPr="00977DA2">
        <w:rPr>
          <w:rFonts w:ascii="Times New Roman" w:hAnsi="Times New Roman" w:cs="Times New Roman"/>
          <w:kern w:val="0"/>
          <w:sz w:val="26"/>
          <w:szCs w:val="26"/>
        </w:rPr>
        <w:t xml:space="preserve"> a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estabilidade da sociedade de </w:t>
      </w:r>
      <w:r w:rsidR="00F6341F" w:rsidRPr="00977DA2">
        <w:rPr>
          <w:rFonts w:ascii="Times New Roman" w:hAnsi="Times New Roman" w:cs="Times New Roman"/>
          <w:kern w:val="0"/>
          <w:sz w:val="26"/>
          <w:szCs w:val="26"/>
        </w:rPr>
        <w:t>Macau, assim como</w:t>
      </w:r>
      <w:r w:rsidRPr="00977DA2">
        <w:rPr>
          <w:rFonts w:ascii="Times New Roman" w:hAnsi="Times New Roman" w:cs="Times New Roman"/>
          <w:kern w:val="0"/>
          <w:sz w:val="26"/>
          <w:szCs w:val="26"/>
        </w:rPr>
        <w:t xml:space="preserve"> a segurança da vida e dos bens do </w:t>
      </w:r>
      <w:bookmarkStart w:id="0" w:name="_GoBack"/>
      <w:bookmarkEnd w:id="0"/>
      <w:r w:rsidRPr="00977DA2">
        <w:rPr>
          <w:rFonts w:ascii="Times New Roman" w:hAnsi="Times New Roman" w:cs="Times New Roman"/>
          <w:kern w:val="0"/>
          <w:sz w:val="26"/>
          <w:szCs w:val="26"/>
        </w:rPr>
        <w:t>público.</w:t>
      </w:r>
    </w:p>
    <w:p w14:paraId="3926F50B" w14:textId="77777777" w:rsidR="00FA63AE" w:rsidRPr="00977DA2" w:rsidRDefault="00FA63AE" w:rsidP="00FA63AE">
      <w:pPr>
        <w:pStyle w:val="a7"/>
        <w:widowControl/>
        <w:overflowPunct w:val="0"/>
        <w:spacing w:after="240" w:line="500" w:lineRule="exact"/>
        <w:ind w:leftChars="0" w:left="426"/>
        <w:jc w:val="both"/>
        <w:rPr>
          <w:rFonts w:ascii="Times New Roman" w:hAnsi="Times New Roman" w:cs="Times New Roman"/>
          <w:kern w:val="0"/>
          <w:sz w:val="26"/>
          <w:szCs w:val="26"/>
        </w:rPr>
      </w:pPr>
    </w:p>
    <w:p w14:paraId="269377D8" w14:textId="5CA231A5" w:rsidR="00FA63AE" w:rsidRPr="00F23903" w:rsidRDefault="00C771A5" w:rsidP="00FA63AE">
      <w:pPr>
        <w:pStyle w:val="a7"/>
        <w:widowControl/>
        <w:overflowPunct w:val="0"/>
        <w:spacing w:after="240" w:line="500" w:lineRule="exact"/>
        <w:ind w:leftChars="0" w:left="426"/>
        <w:jc w:val="right"/>
        <w:rPr>
          <w:rFonts w:ascii="Times New Roman" w:hAnsi="Times New Roman" w:cs="Times New Roman"/>
          <w:kern w:val="0"/>
          <w:sz w:val="26"/>
          <w:szCs w:val="26"/>
        </w:rPr>
      </w:pPr>
      <w:r>
        <w:rPr>
          <w:rFonts w:ascii="Times New Roman" w:hAnsi="Times New Roman" w:cs="Times New Roman" w:hint="eastAsia"/>
          <w:kern w:val="0"/>
          <w:sz w:val="26"/>
          <w:szCs w:val="26"/>
        </w:rPr>
        <w:t>3</w:t>
      </w:r>
      <w:r w:rsidR="00FA63AE" w:rsidRPr="00977DA2">
        <w:rPr>
          <w:rFonts w:ascii="Times New Roman" w:hAnsi="Times New Roman" w:cs="Times New Roman"/>
          <w:kern w:val="0"/>
          <w:sz w:val="26"/>
          <w:szCs w:val="26"/>
        </w:rPr>
        <w:t xml:space="preserve"> de Março de 2022</w:t>
      </w:r>
    </w:p>
    <w:sectPr w:rsidR="00FA63AE" w:rsidRPr="00F23903" w:rsidSect="00303892">
      <w:footerReference w:type="default" r:id="rId10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9055F" w14:textId="77777777" w:rsidR="00784050" w:rsidRDefault="00784050" w:rsidP="00DC4089">
      <w:r>
        <w:separator/>
      </w:r>
    </w:p>
  </w:endnote>
  <w:endnote w:type="continuationSeparator" w:id="0">
    <w:p w14:paraId="4ADC5962" w14:textId="77777777" w:rsidR="00784050" w:rsidRDefault="00784050" w:rsidP="00DC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8059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04C5F06" w14:textId="6DAB0179" w:rsidR="00F14078" w:rsidRPr="005C4BE3" w:rsidRDefault="00F14078" w:rsidP="005C4BE3">
        <w:pPr>
          <w:pStyle w:val="a5"/>
          <w:jc w:val="right"/>
          <w:rPr>
            <w:rFonts w:ascii="Times New Roman" w:hAnsi="Times New Roman" w:cs="Times New Roman"/>
          </w:rPr>
        </w:pPr>
        <w:r w:rsidRPr="000245E8">
          <w:rPr>
            <w:rFonts w:ascii="Times New Roman" w:hAnsi="Times New Roman" w:cs="Times New Roman"/>
          </w:rPr>
          <w:fldChar w:fldCharType="begin"/>
        </w:r>
        <w:r w:rsidRPr="000245E8">
          <w:rPr>
            <w:rFonts w:ascii="Times New Roman" w:hAnsi="Times New Roman" w:cs="Times New Roman"/>
          </w:rPr>
          <w:instrText>PAGE   \* MERGEFORMAT</w:instrText>
        </w:r>
        <w:r w:rsidRPr="000245E8">
          <w:rPr>
            <w:rFonts w:ascii="Times New Roman" w:hAnsi="Times New Roman" w:cs="Times New Roman"/>
          </w:rPr>
          <w:fldChar w:fldCharType="separate"/>
        </w:r>
        <w:r w:rsidR="00303892" w:rsidRPr="00303892">
          <w:rPr>
            <w:rFonts w:ascii="Times New Roman" w:hAnsi="Times New Roman" w:cs="Times New Roman"/>
            <w:noProof/>
            <w:lang w:val="zh-TW"/>
          </w:rPr>
          <w:t>1</w:t>
        </w:r>
        <w:r w:rsidRPr="000245E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C3FE2" w14:textId="77777777" w:rsidR="00784050" w:rsidRDefault="00784050" w:rsidP="00DC4089">
      <w:r>
        <w:separator/>
      </w:r>
    </w:p>
  </w:footnote>
  <w:footnote w:type="continuationSeparator" w:id="0">
    <w:p w14:paraId="71D6360F" w14:textId="77777777" w:rsidR="00784050" w:rsidRDefault="00784050" w:rsidP="00DC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047F"/>
    <w:multiLevelType w:val="hybridMultilevel"/>
    <w:tmpl w:val="7676E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85EF8"/>
    <w:multiLevelType w:val="hybridMultilevel"/>
    <w:tmpl w:val="BA049FEC"/>
    <w:lvl w:ilvl="0" w:tplc="A622FF1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CF26F2"/>
    <w:multiLevelType w:val="hybridMultilevel"/>
    <w:tmpl w:val="9F10BAA6"/>
    <w:lvl w:ilvl="0" w:tplc="04090001">
      <w:start w:val="1"/>
      <w:numFmt w:val="bullet"/>
      <w:lvlText w:val=""/>
      <w:lvlJc w:val="left"/>
      <w:pPr>
        <w:ind w:left="11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4E236C89"/>
    <w:multiLevelType w:val="hybridMultilevel"/>
    <w:tmpl w:val="39AAB2A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CE4D72"/>
    <w:multiLevelType w:val="hybridMultilevel"/>
    <w:tmpl w:val="B7F483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D6D3955"/>
    <w:multiLevelType w:val="hybridMultilevel"/>
    <w:tmpl w:val="D458C488"/>
    <w:lvl w:ilvl="0" w:tplc="44E8EC24">
      <w:numFmt w:val="bullet"/>
      <w:lvlText w:val="●"/>
      <w:lvlJc w:val="left"/>
      <w:pPr>
        <w:ind w:left="840" w:hanging="360"/>
      </w:pPr>
      <w:rPr>
        <w:rFonts w:ascii="SimSun" w:eastAsia="SimSun" w:hAnsi="SimSu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>
    <w:nsid w:val="6E946587"/>
    <w:multiLevelType w:val="multilevel"/>
    <w:tmpl w:val="619283FE"/>
    <w:lvl w:ilvl="0">
      <w:start w:val="1"/>
      <w:numFmt w:val="decimal"/>
      <w:lvlText w:val="%1."/>
      <w:lvlJc w:val="left"/>
      <w:pPr>
        <w:ind w:left="450" w:hanging="450"/>
      </w:pPr>
      <w:rPr>
        <w:rFonts w:eastAsia="標楷體" w:hint="default"/>
      </w:rPr>
    </w:lvl>
    <w:lvl w:ilvl="1">
      <w:start w:val="1"/>
      <w:numFmt w:val="decimal"/>
      <w:lvlText w:val="%1.%2."/>
      <w:lvlJc w:val="left"/>
      <w:pPr>
        <w:ind w:left="1286" w:hanging="720"/>
      </w:pPr>
      <w:rPr>
        <w:rFonts w:eastAsia="標楷體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eastAsia="標楷體"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eastAsia="標楷體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eastAsia="標楷體"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eastAsia="標楷體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eastAsia="標楷體"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eastAsia="標楷體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eastAsia="標楷體" w:hint="default"/>
      </w:rPr>
    </w:lvl>
  </w:abstractNum>
  <w:abstractNum w:abstractNumId="7">
    <w:nsid w:val="72410AAD"/>
    <w:multiLevelType w:val="hybridMultilevel"/>
    <w:tmpl w:val="ABD247F6"/>
    <w:lvl w:ilvl="0" w:tplc="3E1AEA1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7D5026C5"/>
    <w:multiLevelType w:val="hybridMultilevel"/>
    <w:tmpl w:val="70423670"/>
    <w:lvl w:ilvl="0" w:tplc="D6EE163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B4E"/>
    <w:rsid w:val="000023B8"/>
    <w:rsid w:val="00006C2D"/>
    <w:rsid w:val="0001054B"/>
    <w:rsid w:val="000106F9"/>
    <w:rsid w:val="0001174D"/>
    <w:rsid w:val="00011F3A"/>
    <w:rsid w:val="00020CAC"/>
    <w:rsid w:val="00021E5F"/>
    <w:rsid w:val="0002205C"/>
    <w:rsid w:val="000227CF"/>
    <w:rsid w:val="00022E7A"/>
    <w:rsid w:val="000245E8"/>
    <w:rsid w:val="000257A0"/>
    <w:rsid w:val="000257B3"/>
    <w:rsid w:val="0003160F"/>
    <w:rsid w:val="0003252D"/>
    <w:rsid w:val="000334F3"/>
    <w:rsid w:val="000338A7"/>
    <w:rsid w:val="00033A5B"/>
    <w:rsid w:val="00035BC8"/>
    <w:rsid w:val="0003678F"/>
    <w:rsid w:val="00036AD5"/>
    <w:rsid w:val="00040AF5"/>
    <w:rsid w:val="0004365F"/>
    <w:rsid w:val="00045534"/>
    <w:rsid w:val="00045C25"/>
    <w:rsid w:val="00046397"/>
    <w:rsid w:val="00046DA6"/>
    <w:rsid w:val="00050C8A"/>
    <w:rsid w:val="0005347D"/>
    <w:rsid w:val="00053A27"/>
    <w:rsid w:val="00054739"/>
    <w:rsid w:val="00055BC9"/>
    <w:rsid w:val="00057F6C"/>
    <w:rsid w:val="0006428B"/>
    <w:rsid w:val="00065F45"/>
    <w:rsid w:val="0007063D"/>
    <w:rsid w:val="00070B1D"/>
    <w:rsid w:val="0007119F"/>
    <w:rsid w:val="000732C2"/>
    <w:rsid w:val="00076FB9"/>
    <w:rsid w:val="00077110"/>
    <w:rsid w:val="00080C5F"/>
    <w:rsid w:val="000818F7"/>
    <w:rsid w:val="00081B7B"/>
    <w:rsid w:val="00081FDC"/>
    <w:rsid w:val="00083AA0"/>
    <w:rsid w:val="00084450"/>
    <w:rsid w:val="0008485A"/>
    <w:rsid w:val="000855F2"/>
    <w:rsid w:val="000855FB"/>
    <w:rsid w:val="000907C0"/>
    <w:rsid w:val="00097D96"/>
    <w:rsid w:val="000A3906"/>
    <w:rsid w:val="000A60D6"/>
    <w:rsid w:val="000A64F8"/>
    <w:rsid w:val="000A6EEC"/>
    <w:rsid w:val="000B5F28"/>
    <w:rsid w:val="000B6480"/>
    <w:rsid w:val="000C0AFE"/>
    <w:rsid w:val="000C2F7D"/>
    <w:rsid w:val="000C36D7"/>
    <w:rsid w:val="000C6A71"/>
    <w:rsid w:val="000D068F"/>
    <w:rsid w:val="000D0A98"/>
    <w:rsid w:val="000D2B0A"/>
    <w:rsid w:val="000D35CD"/>
    <w:rsid w:val="000D38D3"/>
    <w:rsid w:val="000D4E89"/>
    <w:rsid w:val="000D589C"/>
    <w:rsid w:val="000D7054"/>
    <w:rsid w:val="000D7A30"/>
    <w:rsid w:val="000E0EB2"/>
    <w:rsid w:val="000E189C"/>
    <w:rsid w:val="000E1EC9"/>
    <w:rsid w:val="000E1F87"/>
    <w:rsid w:val="000E3A3A"/>
    <w:rsid w:val="000E46C2"/>
    <w:rsid w:val="000E7D9C"/>
    <w:rsid w:val="000F42B9"/>
    <w:rsid w:val="000F6AF0"/>
    <w:rsid w:val="00100DAA"/>
    <w:rsid w:val="00101706"/>
    <w:rsid w:val="00103187"/>
    <w:rsid w:val="0010417D"/>
    <w:rsid w:val="001053F6"/>
    <w:rsid w:val="00107491"/>
    <w:rsid w:val="00114783"/>
    <w:rsid w:val="00116372"/>
    <w:rsid w:val="0011798F"/>
    <w:rsid w:val="001211C9"/>
    <w:rsid w:val="0012151F"/>
    <w:rsid w:val="001236EC"/>
    <w:rsid w:val="0012493C"/>
    <w:rsid w:val="00125D73"/>
    <w:rsid w:val="00126332"/>
    <w:rsid w:val="00126914"/>
    <w:rsid w:val="001308B4"/>
    <w:rsid w:val="0013125C"/>
    <w:rsid w:val="00133F80"/>
    <w:rsid w:val="00137C4A"/>
    <w:rsid w:val="00137DDE"/>
    <w:rsid w:val="00137FD7"/>
    <w:rsid w:val="00140325"/>
    <w:rsid w:val="00141B91"/>
    <w:rsid w:val="00141F47"/>
    <w:rsid w:val="0014232B"/>
    <w:rsid w:val="00142849"/>
    <w:rsid w:val="00143582"/>
    <w:rsid w:val="00146A50"/>
    <w:rsid w:val="00150129"/>
    <w:rsid w:val="001511CD"/>
    <w:rsid w:val="00151E27"/>
    <w:rsid w:val="0015297E"/>
    <w:rsid w:val="00154F92"/>
    <w:rsid w:val="001608C2"/>
    <w:rsid w:val="0016191A"/>
    <w:rsid w:val="00161A8C"/>
    <w:rsid w:val="00166FA7"/>
    <w:rsid w:val="0016795C"/>
    <w:rsid w:val="00170EA8"/>
    <w:rsid w:val="0018083D"/>
    <w:rsid w:val="00182F3C"/>
    <w:rsid w:val="00185C68"/>
    <w:rsid w:val="00191471"/>
    <w:rsid w:val="00191CB5"/>
    <w:rsid w:val="0019204A"/>
    <w:rsid w:val="00192991"/>
    <w:rsid w:val="001933F5"/>
    <w:rsid w:val="00196DD2"/>
    <w:rsid w:val="001970DC"/>
    <w:rsid w:val="001979A2"/>
    <w:rsid w:val="00197FD6"/>
    <w:rsid w:val="001A047C"/>
    <w:rsid w:val="001A0C58"/>
    <w:rsid w:val="001A156C"/>
    <w:rsid w:val="001A2715"/>
    <w:rsid w:val="001A2CC9"/>
    <w:rsid w:val="001A2F00"/>
    <w:rsid w:val="001A5450"/>
    <w:rsid w:val="001B05EE"/>
    <w:rsid w:val="001B0EA0"/>
    <w:rsid w:val="001B1A63"/>
    <w:rsid w:val="001B3992"/>
    <w:rsid w:val="001B456B"/>
    <w:rsid w:val="001B45CA"/>
    <w:rsid w:val="001B5200"/>
    <w:rsid w:val="001B76F2"/>
    <w:rsid w:val="001C0851"/>
    <w:rsid w:val="001C15E0"/>
    <w:rsid w:val="001C1AA3"/>
    <w:rsid w:val="001C1F6E"/>
    <w:rsid w:val="001C32AD"/>
    <w:rsid w:val="001D0C75"/>
    <w:rsid w:val="001D1966"/>
    <w:rsid w:val="001D30C3"/>
    <w:rsid w:val="001D500C"/>
    <w:rsid w:val="001D6103"/>
    <w:rsid w:val="001D61C3"/>
    <w:rsid w:val="001E298D"/>
    <w:rsid w:val="001E37EB"/>
    <w:rsid w:val="001E7726"/>
    <w:rsid w:val="001E7D16"/>
    <w:rsid w:val="001F09C3"/>
    <w:rsid w:val="001F150D"/>
    <w:rsid w:val="001F1968"/>
    <w:rsid w:val="001F24DB"/>
    <w:rsid w:val="001F3259"/>
    <w:rsid w:val="001F57D4"/>
    <w:rsid w:val="001F7397"/>
    <w:rsid w:val="001F7F82"/>
    <w:rsid w:val="00200C43"/>
    <w:rsid w:val="00201180"/>
    <w:rsid w:val="00205361"/>
    <w:rsid w:val="002058AA"/>
    <w:rsid w:val="002104D3"/>
    <w:rsid w:val="00211A21"/>
    <w:rsid w:val="0021297F"/>
    <w:rsid w:val="00212E22"/>
    <w:rsid w:val="0021424E"/>
    <w:rsid w:val="0021490A"/>
    <w:rsid w:val="00215526"/>
    <w:rsid w:val="00222F14"/>
    <w:rsid w:val="00223DF6"/>
    <w:rsid w:val="0022455E"/>
    <w:rsid w:val="00225E71"/>
    <w:rsid w:val="00226446"/>
    <w:rsid w:val="00232871"/>
    <w:rsid w:val="00240801"/>
    <w:rsid w:val="002421F1"/>
    <w:rsid w:val="002424F2"/>
    <w:rsid w:val="00244F32"/>
    <w:rsid w:val="00245CE9"/>
    <w:rsid w:val="0024682B"/>
    <w:rsid w:val="00246C9A"/>
    <w:rsid w:val="002477E9"/>
    <w:rsid w:val="00251903"/>
    <w:rsid w:val="00251B6F"/>
    <w:rsid w:val="00255731"/>
    <w:rsid w:val="002570F4"/>
    <w:rsid w:val="00260220"/>
    <w:rsid w:val="00262071"/>
    <w:rsid w:val="0026698C"/>
    <w:rsid w:val="00272ACB"/>
    <w:rsid w:val="00272F89"/>
    <w:rsid w:val="00273137"/>
    <w:rsid w:val="00276B01"/>
    <w:rsid w:val="0028055E"/>
    <w:rsid w:val="002818EE"/>
    <w:rsid w:val="002835A1"/>
    <w:rsid w:val="0028434A"/>
    <w:rsid w:val="00291E08"/>
    <w:rsid w:val="002924CB"/>
    <w:rsid w:val="00292F18"/>
    <w:rsid w:val="0029303F"/>
    <w:rsid w:val="0029603A"/>
    <w:rsid w:val="00296047"/>
    <w:rsid w:val="00296514"/>
    <w:rsid w:val="002A4154"/>
    <w:rsid w:val="002A462E"/>
    <w:rsid w:val="002A7A8A"/>
    <w:rsid w:val="002B0315"/>
    <w:rsid w:val="002B10C7"/>
    <w:rsid w:val="002B190F"/>
    <w:rsid w:val="002B200D"/>
    <w:rsid w:val="002B2251"/>
    <w:rsid w:val="002B4BF1"/>
    <w:rsid w:val="002B5DBD"/>
    <w:rsid w:val="002C1330"/>
    <w:rsid w:val="002C434E"/>
    <w:rsid w:val="002C5E3F"/>
    <w:rsid w:val="002C6C69"/>
    <w:rsid w:val="002D46C6"/>
    <w:rsid w:val="002D7940"/>
    <w:rsid w:val="002E3B4E"/>
    <w:rsid w:val="002E4721"/>
    <w:rsid w:val="002F4291"/>
    <w:rsid w:val="002F4419"/>
    <w:rsid w:val="002F5CD1"/>
    <w:rsid w:val="002F61D7"/>
    <w:rsid w:val="003012B3"/>
    <w:rsid w:val="003036CB"/>
    <w:rsid w:val="00303892"/>
    <w:rsid w:val="003048EE"/>
    <w:rsid w:val="003127EB"/>
    <w:rsid w:val="00312FEA"/>
    <w:rsid w:val="00315C3B"/>
    <w:rsid w:val="00322471"/>
    <w:rsid w:val="003252B0"/>
    <w:rsid w:val="00325623"/>
    <w:rsid w:val="0032785A"/>
    <w:rsid w:val="00327C9E"/>
    <w:rsid w:val="00330529"/>
    <w:rsid w:val="00330D99"/>
    <w:rsid w:val="00342469"/>
    <w:rsid w:val="00343AB3"/>
    <w:rsid w:val="00347F9B"/>
    <w:rsid w:val="003557AD"/>
    <w:rsid w:val="00362F9D"/>
    <w:rsid w:val="003637B8"/>
    <w:rsid w:val="00363F13"/>
    <w:rsid w:val="00364A5C"/>
    <w:rsid w:val="00364E2A"/>
    <w:rsid w:val="00365BEF"/>
    <w:rsid w:val="00366BF6"/>
    <w:rsid w:val="00366F7E"/>
    <w:rsid w:val="00370152"/>
    <w:rsid w:val="00371176"/>
    <w:rsid w:val="00372EB9"/>
    <w:rsid w:val="003743F3"/>
    <w:rsid w:val="00375A36"/>
    <w:rsid w:val="00380961"/>
    <w:rsid w:val="00387ADE"/>
    <w:rsid w:val="00390127"/>
    <w:rsid w:val="003917F0"/>
    <w:rsid w:val="00392361"/>
    <w:rsid w:val="0039407A"/>
    <w:rsid w:val="00394579"/>
    <w:rsid w:val="00394713"/>
    <w:rsid w:val="00394B95"/>
    <w:rsid w:val="00397383"/>
    <w:rsid w:val="00397A69"/>
    <w:rsid w:val="003A048E"/>
    <w:rsid w:val="003A1C25"/>
    <w:rsid w:val="003A241F"/>
    <w:rsid w:val="003A3399"/>
    <w:rsid w:val="003A4564"/>
    <w:rsid w:val="003A4C6A"/>
    <w:rsid w:val="003A7039"/>
    <w:rsid w:val="003A73BD"/>
    <w:rsid w:val="003A78DB"/>
    <w:rsid w:val="003B1471"/>
    <w:rsid w:val="003B1676"/>
    <w:rsid w:val="003B42B6"/>
    <w:rsid w:val="003B4FF9"/>
    <w:rsid w:val="003B7489"/>
    <w:rsid w:val="003B78C1"/>
    <w:rsid w:val="003B7E5D"/>
    <w:rsid w:val="003C1555"/>
    <w:rsid w:val="003C1C7C"/>
    <w:rsid w:val="003C2186"/>
    <w:rsid w:val="003C31FD"/>
    <w:rsid w:val="003C329B"/>
    <w:rsid w:val="003C4440"/>
    <w:rsid w:val="003C5121"/>
    <w:rsid w:val="003C53E2"/>
    <w:rsid w:val="003C6CFE"/>
    <w:rsid w:val="003C6E51"/>
    <w:rsid w:val="003C7408"/>
    <w:rsid w:val="003C74B9"/>
    <w:rsid w:val="003C7D42"/>
    <w:rsid w:val="003D03CD"/>
    <w:rsid w:val="003D0E80"/>
    <w:rsid w:val="003D1639"/>
    <w:rsid w:val="003D215D"/>
    <w:rsid w:val="003D26C7"/>
    <w:rsid w:val="003D282F"/>
    <w:rsid w:val="003D2C7C"/>
    <w:rsid w:val="003D403D"/>
    <w:rsid w:val="003D45B4"/>
    <w:rsid w:val="003D619F"/>
    <w:rsid w:val="003E2BE2"/>
    <w:rsid w:val="003E4E1F"/>
    <w:rsid w:val="003E681A"/>
    <w:rsid w:val="003E698A"/>
    <w:rsid w:val="003E6CC4"/>
    <w:rsid w:val="003F0DB1"/>
    <w:rsid w:val="003F3FA4"/>
    <w:rsid w:val="003F5B49"/>
    <w:rsid w:val="00400096"/>
    <w:rsid w:val="004024EE"/>
    <w:rsid w:val="00404BDD"/>
    <w:rsid w:val="0041078D"/>
    <w:rsid w:val="00410BDB"/>
    <w:rsid w:val="004119A6"/>
    <w:rsid w:val="004119FA"/>
    <w:rsid w:val="00413DE5"/>
    <w:rsid w:val="0041720C"/>
    <w:rsid w:val="00420289"/>
    <w:rsid w:val="00420C72"/>
    <w:rsid w:val="00423722"/>
    <w:rsid w:val="00423D50"/>
    <w:rsid w:val="00430462"/>
    <w:rsid w:val="0043348A"/>
    <w:rsid w:val="0043522B"/>
    <w:rsid w:val="0044028D"/>
    <w:rsid w:val="00440830"/>
    <w:rsid w:val="00442ACD"/>
    <w:rsid w:val="00443CBD"/>
    <w:rsid w:val="00445C44"/>
    <w:rsid w:val="0044655F"/>
    <w:rsid w:val="00450F2B"/>
    <w:rsid w:val="0045264A"/>
    <w:rsid w:val="00452F14"/>
    <w:rsid w:val="004550AD"/>
    <w:rsid w:val="004554B5"/>
    <w:rsid w:val="0046018F"/>
    <w:rsid w:val="00464A8E"/>
    <w:rsid w:val="00464C42"/>
    <w:rsid w:val="0046582F"/>
    <w:rsid w:val="00466D46"/>
    <w:rsid w:val="0046707B"/>
    <w:rsid w:val="0047105E"/>
    <w:rsid w:val="00472351"/>
    <w:rsid w:val="004729D3"/>
    <w:rsid w:val="004731E3"/>
    <w:rsid w:val="00473580"/>
    <w:rsid w:val="00475966"/>
    <w:rsid w:val="004771F0"/>
    <w:rsid w:val="00482C2F"/>
    <w:rsid w:val="00482C99"/>
    <w:rsid w:val="00482E43"/>
    <w:rsid w:val="004839D2"/>
    <w:rsid w:val="004840DA"/>
    <w:rsid w:val="00485E11"/>
    <w:rsid w:val="004862C7"/>
    <w:rsid w:val="00486D71"/>
    <w:rsid w:val="0048790D"/>
    <w:rsid w:val="00487E66"/>
    <w:rsid w:val="00490CF5"/>
    <w:rsid w:val="00492BEF"/>
    <w:rsid w:val="00493F82"/>
    <w:rsid w:val="00495431"/>
    <w:rsid w:val="00496CBD"/>
    <w:rsid w:val="004A1D39"/>
    <w:rsid w:val="004A1E7C"/>
    <w:rsid w:val="004A206E"/>
    <w:rsid w:val="004A2E2C"/>
    <w:rsid w:val="004A30CE"/>
    <w:rsid w:val="004A31F3"/>
    <w:rsid w:val="004A5C23"/>
    <w:rsid w:val="004A7625"/>
    <w:rsid w:val="004B04DD"/>
    <w:rsid w:val="004B0EB6"/>
    <w:rsid w:val="004B1394"/>
    <w:rsid w:val="004B1736"/>
    <w:rsid w:val="004B2FCA"/>
    <w:rsid w:val="004C39AB"/>
    <w:rsid w:val="004C660E"/>
    <w:rsid w:val="004C7E7F"/>
    <w:rsid w:val="004D11FD"/>
    <w:rsid w:val="004D1724"/>
    <w:rsid w:val="004D2267"/>
    <w:rsid w:val="004D2F52"/>
    <w:rsid w:val="004D451A"/>
    <w:rsid w:val="004D60FC"/>
    <w:rsid w:val="004D6A9E"/>
    <w:rsid w:val="004E1CD1"/>
    <w:rsid w:val="004E3153"/>
    <w:rsid w:val="004E4D44"/>
    <w:rsid w:val="004E6894"/>
    <w:rsid w:val="004E79CB"/>
    <w:rsid w:val="004F05AD"/>
    <w:rsid w:val="004F5843"/>
    <w:rsid w:val="004F7670"/>
    <w:rsid w:val="004F7E9B"/>
    <w:rsid w:val="00501772"/>
    <w:rsid w:val="00502982"/>
    <w:rsid w:val="00510673"/>
    <w:rsid w:val="005128E7"/>
    <w:rsid w:val="00513C83"/>
    <w:rsid w:val="00514F41"/>
    <w:rsid w:val="005160D0"/>
    <w:rsid w:val="005251F5"/>
    <w:rsid w:val="00526795"/>
    <w:rsid w:val="005270CC"/>
    <w:rsid w:val="00534DAA"/>
    <w:rsid w:val="00537B0F"/>
    <w:rsid w:val="0054028E"/>
    <w:rsid w:val="005420EE"/>
    <w:rsid w:val="00543326"/>
    <w:rsid w:val="005442F9"/>
    <w:rsid w:val="00546EC4"/>
    <w:rsid w:val="00552591"/>
    <w:rsid w:val="0055394A"/>
    <w:rsid w:val="005541A5"/>
    <w:rsid w:val="00556BFF"/>
    <w:rsid w:val="00557F48"/>
    <w:rsid w:val="00560037"/>
    <w:rsid w:val="00561581"/>
    <w:rsid w:val="005616B2"/>
    <w:rsid w:val="0056441A"/>
    <w:rsid w:val="005654C2"/>
    <w:rsid w:val="00565BF8"/>
    <w:rsid w:val="005663F2"/>
    <w:rsid w:val="0056697B"/>
    <w:rsid w:val="00566BB4"/>
    <w:rsid w:val="00570C95"/>
    <w:rsid w:val="00572CA1"/>
    <w:rsid w:val="005750C7"/>
    <w:rsid w:val="0057571C"/>
    <w:rsid w:val="00575BAC"/>
    <w:rsid w:val="00577DE3"/>
    <w:rsid w:val="0058053F"/>
    <w:rsid w:val="00583BEA"/>
    <w:rsid w:val="0058476D"/>
    <w:rsid w:val="00584DDE"/>
    <w:rsid w:val="00585BE2"/>
    <w:rsid w:val="00587AFC"/>
    <w:rsid w:val="00590D7F"/>
    <w:rsid w:val="00591565"/>
    <w:rsid w:val="00592136"/>
    <w:rsid w:val="005922FD"/>
    <w:rsid w:val="00593163"/>
    <w:rsid w:val="005961D3"/>
    <w:rsid w:val="00597EA9"/>
    <w:rsid w:val="005A085A"/>
    <w:rsid w:val="005A1408"/>
    <w:rsid w:val="005A3B8A"/>
    <w:rsid w:val="005A5C96"/>
    <w:rsid w:val="005A5F10"/>
    <w:rsid w:val="005A7BE8"/>
    <w:rsid w:val="005B0517"/>
    <w:rsid w:val="005B1A6B"/>
    <w:rsid w:val="005B34AC"/>
    <w:rsid w:val="005B5245"/>
    <w:rsid w:val="005B5B14"/>
    <w:rsid w:val="005B67D2"/>
    <w:rsid w:val="005B6AA1"/>
    <w:rsid w:val="005B6E6C"/>
    <w:rsid w:val="005C097E"/>
    <w:rsid w:val="005C1C29"/>
    <w:rsid w:val="005C2216"/>
    <w:rsid w:val="005C2A8B"/>
    <w:rsid w:val="005C44D7"/>
    <w:rsid w:val="005C4BE3"/>
    <w:rsid w:val="005D09C2"/>
    <w:rsid w:val="005D0EA3"/>
    <w:rsid w:val="005D5733"/>
    <w:rsid w:val="005D705B"/>
    <w:rsid w:val="005D755A"/>
    <w:rsid w:val="005E0784"/>
    <w:rsid w:val="005E6EF1"/>
    <w:rsid w:val="005F0CBD"/>
    <w:rsid w:val="005F0D07"/>
    <w:rsid w:val="005F2BA0"/>
    <w:rsid w:val="005F3684"/>
    <w:rsid w:val="005F3ABD"/>
    <w:rsid w:val="005F41C6"/>
    <w:rsid w:val="005F44D6"/>
    <w:rsid w:val="005F5CD4"/>
    <w:rsid w:val="005F68DE"/>
    <w:rsid w:val="0060101A"/>
    <w:rsid w:val="00601DC7"/>
    <w:rsid w:val="006026C2"/>
    <w:rsid w:val="00603E09"/>
    <w:rsid w:val="00604E30"/>
    <w:rsid w:val="006102CD"/>
    <w:rsid w:val="0061374A"/>
    <w:rsid w:val="00615DB0"/>
    <w:rsid w:val="00616224"/>
    <w:rsid w:val="00616923"/>
    <w:rsid w:val="00622369"/>
    <w:rsid w:val="0062262F"/>
    <w:rsid w:val="0062305D"/>
    <w:rsid w:val="00624343"/>
    <w:rsid w:val="006272CF"/>
    <w:rsid w:val="00631DC1"/>
    <w:rsid w:val="00631DC2"/>
    <w:rsid w:val="00632C29"/>
    <w:rsid w:val="00636101"/>
    <w:rsid w:val="006365B0"/>
    <w:rsid w:val="006374A2"/>
    <w:rsid w:val="00641C91"/>
    <w:rsid w:val="00642560"/>
    <w:rsid w:val="00642CC5"/>
    <w:rsid w:val="00647F83"/>
    <w:rsid w:val="006565B4"/>
    <w:rsid w:val="00656722"/>
    <w:rsid w:val="006572F9"/>
    <w:rsid w:val="0066090B"/>
    <w:rsid w:val="00666990"/>
    <w:rsid w:val="00670B58"/>
    <w:rsid w:val="00670F94"/>
    <w:rsid w:val="006728E7"/>
    <w:rsid w:val="00673FCE"/>
    <w:rsid w:val="00674911"/>
    <w:rsid w:val="006778DD"/>
    <w:rsid w:val="00677DB7"/>
    <w:rsid w:val="00681704"/>
    <w:rsid w:val="00685D27"/>
    <w:rsid w:val="00693ACE"/>
    <w:rsid w:val="0069498C"/>
    <w:rsid w:val="00696A16"/>
    <w:rsid w:val="00696C7D"/>
    <w:rsid w:val="006A0642"/>
    <w:rsid w:val="006A0BF9"/>
    <w:rsid w:val="006A15B6"/>
    <w:rsid w:val="006A2EB7"/>
    <w:rsid w:val="006A522A"/>
    <w:rsid w:val="006A5C68"/>
    <w:rsid w:val="006B085B"/>
    <w:rsid w:val="006B1E3D"/>
    <w:rsid w:val="006B52D4"/>
    <w:rsid w:val="006B56A9"/>
    <w:rsid w:val="006B6894"/>
    <w:rsid w:val="006B6D09"/>
    <w:rsid w:val="006B6E39"/>
    <w:rsid w:val="006C1320"/>
    <w:rsid w:val="006C18E4"/>
    <w:rsid w:val="006C3863"/>
    <w:rsid w:val="006C39A8"/>
    <w:rsid w:val="006C4460"/>
    <w:rsid w:val="006C5C96"/>
    <w:rsid w:val="006D17C3"/>
    <w:rsid w:val="006D3953"/>
    <w:rsid w:val="006D5172"/>
    <w:rsid w:val="006D5E11"/>
    <w:rsid w:val="006E1119"/>
    <w:rsid w:val="006E2824"/>
    <w:rsid w:val="006E43B0"/>
    <w:rsid w:val="006E50E4"/>
    <w:rsid w:val="006E651E"/>
    <w:rsid w:val="006E69EE"/>
    <w:rsid w:val="006E7238"/>
    <w:rsid w:val="006F08AE"/>
    <w:rsid w:val="006F0BCF"/>
    <w:rsid w:val="006F0C86"/>
    <w:rsid w:val="006F170A"/>
    <w:rsid w:val="006F3AB3"/>
    <w:rsid w:val="006F40CA"/>
    <w:rsid w:val="006F4678"/>
    <w:rsid w:val="006F4D7C"/>
    <w:rsid w:val="006F5835"/>
    <w:rsid w:val="0070037A"/>
    <w:rsid w:val="00707792"/>
    <w:rsid w:val="0071135A"/>
    <w:rsid w:val="007203FD"/>
    <w:rsid w:val="00720BEE"/>
    <w:rsid w:val="00721B11"/>
    <w:rsid w:val="00723A8E"/>
    <w:rsid w:val="00724D2E"/>
    <w:rsid w:val="00725802"/>
    <w:rsid w:val="00726CA8"/>
    <w:rsid w:val="007278C9"/>
    <w:rsid w:val="00727FA1"/>
    <w:rsid w:val="00730033"/>
    <w:rsid w:val="0074181F"/>
    <w:rsid w:val="00742E98"/>
    <w:rsid w:val="00743B01"/>
    <w:rsid w:val="00747288"/>
    <w:rsid w:val="00754AEE"/>
    <w:rsid w:val="00755826"/>
    <w:rsid w:val="0076201A"/>
    <w:rsid w:val="00762B1A"/>
    <w:rsid w:val="00763CF8"/>
    <w:rsid w:val="00764234"/>
    <w:rsid w:val="00771D67"/>
    <w:rsid w:val="00771DDD"/>
    <w:rsid w:val="007732DD"/>
    <w:rsid w:val="007744E1"/>
    <w:rsid w:val="007809A1"/>
    <w:rsid w:val="00781397"/>
    <w:rsid w:val="00782D25"/>
    <w:rsid w:val="00783671"/>
    <w:rsid w:val="00784050"/>
    <w:rsid w:val="0078716E"/>
    <w:rsid w:val="0079125F"/>
    <w:rsid w:val="007912CD"/>
    <w:rsid w:val="00792224"/>
    <w:rsid w:val="0079269D"/>
    <w:rsid w:val="0079370C"/>
    <w:rsid w:val="007955B6"/>
    <w:rsid w:val="00796336"/>
    <w:rsid w:val="007976D2"/>
    <w:rsid w:val="007A196C"/>
    <w:rsid w:val="007A1E18"/>
    <w:rsid w:val="007A260D"/>
    <w:rsid w:val="007A3729"/>
    <w:rsid w:val="007A71AA"/>
    <w:rsid w:val="007B356C"/>
    <w:rsid w:val="007B4470"/>
    <w:rsid w:val="007B5805"/>
    <w:rsid w:val="007B5B5A"/>
    <w:rsid w:val="007B651C"/>
    <w:rsid w:val="007C0BAD"/>
    <w:rsid w:val="007C1EEB"/>
    <w:rsid w:val="007C326A"/>
    <w:rsid w:val="007C3E24"/>
    <w:rsid w:val="007C78D9"/>
    <w:rsid w:val="007D148C"/>
    <w:rsid w:val="007D17F7"/>
    <w:rsid w:val="007D4969"/>
    <w:rsid w:val="007D4A78"/>
    <w:rsid w:val="007D6810"/>
    <w:rsid w:val="007E040A"/>
    <w:rsid w:val="007E1D82"/>
    <w:rsid w:val="007E4A3F"/>
    <w:rsid w:val="007E53BF"/>
    <w:rsid w:val="007F04C2"/>
    <w:rsid w:val="007F0949"/>
    <w:rsid w:val="007F5D29"/>
    <w:rsid w:val="007F5E91"/>
    <w:rsid w:val="007F68DD"/>
    <w:rsid w:val="007F6A2A"/>
    <w:rsid w:val="007F7B9D"/>
    <w:rsid w:val="008001C9"/>
    <w:rsid w:val="00800E62"/>
    <w:rsid w:val="008012A1"/>
    <w:rsid w:val="0080159F"/>
    <w:rsid w:val="00801EDA"/>
    <w:rsid w:val="008023E5"/>
    <w:rsid w:val="00803B9F"/>
    <w:rsid w:val="008044B7"/>
    <w:rsid w:val="0080533C"/>
    <w:rsid w:val="00807595"/>
    <w:rsid w:val="008124DB"/>
    <w:rsid w:val="00814AE5"/>
    <w:rsid w:val="008151C7"/>
    <w:rsid w:val="00815B5A"/>
    <w:rsid w:val="00815D7C"/>
    <w:rsid w:val="008176D8"/>
    <w:rsid w:val="00817E78"/>
    <w:rsid w:val="00830E52"/>
    <w:rsid w:val="0083232C"/>
    <w:rsid w:val="0083250F"/>
    <w:rsid w:val="00835E55"/>
    <w:rsid w:val="00836234"/>
    <w:rsid w:val="00840322"/>
    <w:rsid w:val="0084136B"/>
    <w:rsid w:val="00842D24"/>
    <w:rsid w:val="00845594"/>
    <w:rsid w:val="00846CB7"/>
    <w:rsid w:val="008470D3"/>
    <w:rsid w:val="00847AD0"/>
    <w:rsid w:val="00851FA7"/>
    <w:rsid w:val="008530D2"/>
    <w:rsid w:val="00855514"/>
    <w:rsid w:val="00857796"/>
    <w:rsid w:val="00860197"/>
    <w:rsid w:val="0086229F"/>
    <w:rsid w:val="00862B2C"/>
    <w:rsid w:val="00863BDF"/>
    <w:rsid w:val="00864261"/>
    <w:rsid w:val="00864562"/>
    <w:rsid w:val="00870A07"/>
    <w:rsid w:val="00871A3F"/>
    <w:rsid w:val="00871BFC"/>
    <w:rsid w:val="00872D48"/>
    <w:rsid w:val="0087696D"/>
    <w:rsid w:val="00877C1B"/>
    <w:rsid w:val="00881861"/>
    <w:rsid w:val="008821EF"/>
    <w:rsid w:val="008822C1"/>
    <w:rsid w:val="0088246D"/>
    <w:rsid w:val="008838FF"/>
    <w:rsid w:val="008841D2"/>
    <w:rsid w:val="0088479A"/>
    <w:rsid w:val="00884A26"/>
    <w:rsid w:val="00887002"/>
    <w:rsid w:val="00891A6B"/>
    <w:rsid w:val="0089212A"/>
    <w:rsid w:val="00894C75"/>
    <w:rsid w:val="008A01D7"/>
    <w:rsid w:val="008A0B68"/>
    <w:rsid w:val="008A43DC"/>
    <w:rsid w:val="008A4DFC"/>
    <w:rsid w:val="008A5928"/>
    <w:rsid w:val="008A5AFE"/>
    <w:rsid w:val="008A6039"/>
    <w:rsid w:val="008A655F"/>
    <w:rsid w:val="008A6EA7"/>
    <w:rsid w:val="008A7242"/>
    <w:rsid w:val="008B01BA"/>
    <w:rsid w:val="008B08E6"/>
    <w:rsid w:val="008B0F23"/>
    <w:rsid w:val="008B144D"/>
    <w:rsid w:val="008B4DBF"/>
    <w:rsid w:val="008B6DF5"/>
    <w:rsid w:val="008C0229"/>
    <w:rsid w:val="008C08F6"/>
    <w:rsid w:val="008D0553"/>
    <w:rsid w:val="008D279B"/>
    <w:rsid w:val="008D32BB"/>
    <w:rsid w:val="008D38D0"/>
    <w:rsid w:val="008D41E8"/>
    <w:rsid w:val="008D4BD5"/>
    <w:rsid w:val="008E0311"/>
    <w:rsid w:val="008E21A6"/>
    <w:rsid w:val="008E3D7A"/>
    <w:rsid w:val="008E6F77"/>
    <w:rsid w:val="008E7AF3"/>
    <w:rsid w:val="008F144F"/>
    <w:rsid w:val="008F5A8A"/>
    <w:rsid w:val="008F63B8"/>
    <w:rsid w:val="00901E7E"/>
    <w:rsid w:val="0090385B"/>
    <w:rsid w:val="00904583"/>
    <w:rsid w:val="00905C9D"/>
    <w:rsid w:val="00906506"/>
    <w:rsid w:val="0090695C"/>
    <w:rsid w:val="00915242"/>
    <w:rsid w:val="00921552"/>
    <w:rsid w:val="0092213C"/>
    <w:rsid w:val="00925259"/>
    <w:rsid w:val="00927971"/>
    <w:rsid w:val="009307C1"/>
    <w:rsid w:val="00931457"/>
    <w:rsid w:val="00931F69"/>
    <w:rsid w:val="009326CF"/>
    <w:rsid w:val="009339E6"/>
    <w:rsid w:val="00934F72"/>
    <w:rsid w:val="00936C9E"/>
    <w:rsid w:val="009428B9"/>
    <w:rsid w:val="0094475F"/>
    <w:rsid w:val="00946138"/>
    <w:rsid w:val="00951F41"/>
    <w:rsid w:val="009520E2"/>
    <w:rsid w:val="00952ECC"/>
    <w:rsid w:val="0095359A"/>
    <w:rsid w:val="00954EE2"/>
    <w:rsid w:val="009555EB"/>
    <w:rsid w:val="00955FC4"/>
    <w:rsid w:val="009605DE"/>
    <w:rsid w:val="0096207B"/>
    <w:rsid w:val="0096283E"/>
    <w:rsid w:val="00963FC0"/>
    <w:rsid w:val="009654D9"/>
    <w:rsid w:val="00967469"/>
    <w:rsid w:val="0097102A"/>
    <w:rsid w:val="00972829"/>
    <w:rsid w:val="009748E8"/>
    <w:rsid w:val="00975EAE"/>
    <w:rsid w:val="0097680F"/>
    <w:rsid w:val="00976896"/>
    <w:rsid w:val="00977DA2"/>
    <w:rsid w:val="00977F22"/>
    <w:rsid w:val="00981418"/>
    <w:rsid w:val="009825CF"/>
    <w:rsid w:val="00983CF2"/>
    <w:rsid w:val="00984BDE"/>
    <w:rsid w:val="009850BB"/>
    <w:rsid w:val="00987F34"/>
    <w:rsid w:val="0099168B"/>
    <w:rsid w:val="00995BBA"/>
    <w:rsid w:val="009964A1"/>
    <w:rsid w:val="009A1072"/>
    <w:rsid w:val="009A557C"/>
    <w:rsid w:val="009A79E3"/>
    <w:rsid w:val="009B07C7"/>
    <w:rsid w:val="009B153A"/>
    <w:rsid w:val="009B16D5"/>
    <w:rsid w:val="009B1BFC"/>
    <w:rsid w:val="009B2390"/>
    <w:rsid w:val="009B3118"/>
    <w:rsid w:val="009B5838"/>
    <w:rsid w:val="009B613B"/>
    <w:rsid w:val="009B6E41"/>
    <w:rsid w:val="009B76DD"/>
    <w:rsid w:val="009C1725"/>
    <w:rsid w:val="009C2194"/>
    <w:rsid w:val="009C354C"/>
    <w:rsid w:val="009C54F3"/>
    <w:rsid w:val="009C632A"/>
    <w:rsid w:val="009C7460"/>
    <w:rsid w:val="009C7681"/>
    <w:rsid w:val="009C79EA"/>
    <w:rsid w:val="009D37CA"/>
    <w:rsid w:val="009D54B4"/>
    <w:rsid w:val="009D6F1D"/>
    <w:rsid w:val="009E36B1"/>
    <w:rsid w:val="009E3DDC"/>
    <w:rsid w:val="009E41E7"/>
    <w:rsid w:val="009E5BE2"/>
    <w:rsid w:val="009E5F0A"/>
    <w:rsid w:val="009E662D"/>
    <w:rsid w:val="009F1632"/>
    <w:rsid w:val="009F3A39"/>
    <w:rsid w:val="009F3F8B"/>
    <w:rsid w:val="009F763D"/>
    <w:rsid w:val="009F7681"/>
    <w:rsid w:val="009F7D23"/>
    <w:rsid w:val="00A00488"/>
    <w:rsid w:val="00A00D40"/>
    <w:rsid w:val="00A01F02"/>
    <w:rsid w:val="00A0275A"/>
    <w:rsid w:val="00A03C73"/>
    <w:rsid w:val="00A063E1"/>
    <w:rsid w:val="00A073D1"/>
    <w:rsid w:val="00A111DB"/>
    <w:rsid w:val="00A11F85"/>
    <w:rsid w:val="00A12E46"/>
    <w:rsid w:val="00A146B2"/>
    <w:rsid w:val="00A14F7A"/>
    <w:rsid w:val="00A23964"/>
    <w:rsid w:val="00A25AFB"/>
    <w:rsid w:val="00A26D1F"/>
    <w:rsid w:val="00A2721E"/>
    <w:rsid w:val="00A2757E"/>
    <w:rsid w:val="00A27640"/>
    <w:rsid w:val="00A278E0"/>
    <w:rsid w:val="00A302E5"/>
    <w:rsid w:val="00A307D0"/>
    <w:rsid w:val="00A35B3E"/>
    <w:rsid w:val="00A36327"/>
    <w:rsid w:val="00A3687A"/>
    <w:rsid w:val="00A37E54"/>
    <w:rsid w:val="00A40E64"/>
    <w:rsid w:val="00A47894"/>
    <w:rsid w:val="00A500B4"/>
    <w:rsid w:val="00A50D3B"/>
    <w:rsid w:val="00A519DE"/>
    <w:rsid w:val="00A541F2"/>
    <w:rsid w:val="00A54CF9"/>
    <w:rsid w:val="00A55508"/>
    <w:rsid w:val="00A57AF1"/>
    <w:rsid w:val="00A6145A"/>
    <w:rsid w:val="00A615F2"/>
    <w:rsid w:val="00A6214B"/>
    <w:rsid w:val="00A636D7"/>
    <w:rsid w:val="00A65545"/>
    <w:rsid w:val="00A732F7"/>
    <w:rsid w:val="00A74182"/>
    <w:rsid w:val="00A74BB4"/>
    <w:rsid w:val="00A75B08"/>
    <w:rsid w:val="00A8527D"/>
    <w:rsid w:val="00A8701C"/>
    <w:rsid w:val="00A870B6"/>
    <w:rsid w:val="00A903AB"/>
    <w:rsid w:val="00A92D28"/>
    <w:rsid w:val="00A9405B"/>
    <w:rsid w:val="00A9520B"/>
    <w:rsid w:val="00A954D9"/>
    <w:rsid w:val="00AA0E6E"/>
    <w:rsid w:val="00AA1358"/>
    <w:rsid w:val="00AA291F"/>
    <w:rsid w:val="00AA2E39"/>
    <w:rsid w:val="00AA5D87"/>
    <w:rsid w:val="00AB281C"/>
    <w:rsid w:val="00AB2FB6"/>
    <w:rsid w:val="00AB38AB"/>
    <w:rsid w:val="00AB47D1"/>
    <w:rsid w:val="00AB51AA"/>
    <w:rsid w:val="00AB5285"/>
    <w:rsid w:val="00AB5897"/>
    <w:rsid w:val="00AB6BEF"/>
    <w:rsid w:val="00AC115E"/>
    <w:rsid w:val="00AC1C7B"/>
    <w:rsid w:val="00AC3684"/>
    <w:rsid w:val="00AC5850"/>
    <w:rsid w:val="00AD2A89"/>
    <w:rsid w:val="00AD4704"/>
    <w:rsid w:val="00AD4978"/>
    <w:rsid w:val="00AD7A56"/>
    <w:rsid w:val="00AE1712"/>
    <w:rsid w:val="00AE1928"/>
    <w:rsid w:val="00AE2EF2"/>
    <w:rsid w:val="00AE401D"/>
    <w:rsid w:val="00AE4FE1"/>
    <w:rsid w:val="00AE53FC"/>
    <w:rsid w:val="00AE68F4"/>
    <w:rsid w:val="00AF0436"/>
    <w:rsid w:val="00AF1A9A"/>
    <w:rsid w:val="00AF3AC1"/>
    <w:rsid w:val="00AF5252"/>
    <w:rsid w:val="00AF6294"/>
    <w:rsid w:val="00AF7DD9"/>
    <w:rsid w:val="00B0238E"/>
    <w:rsid w:val="00B02DAF"/>
    <w:rsid w:val="00B03DE3"/>
    <w:rsid w:val="00B0466F"/>
    <w:rsid w:val="00B04F66"/>
    <w:rsid w:val="00B04F77"/>
    <w:rsid w:val="00B052EB"/>
    <w:rsid w:val="00B06D39"/>
    <w:rsid w:val="00B0745B"/>
    <w:rsid w:val="00B07BC6"/>
    <w:rsid w:val="00B10385"/>
    <w:rsid w:val="00B31626"/>
    <w:rsid w:val="00B31BC2"/>
    <w:rsid w:val="00B34A22"/>
    <w:rsid w:val="00B353FA"/>
    <w:rsid w:val="00B36600"/>
    <w:rsid w:val="00B366D4"/>
    <w:rsid w:val="00B40000"/>
    <w:rsid w:val="00B41A6C"/>
    <w:rsid w:val="00B422FE"/>
    <w:rsid w:val="00B45BB3"/>
    <w:rsid w:val="00B461AD"/>
    <w:rsid w:val="00B47BD6"/>
    <w:rsid w:val="00B517D0"/>
    <w:rsid w:val="00B555F3"/>
    <w:rsid w:val="00B563C7"/>
    <w:rsid w:val="00B564CD"/>
    <w:rsid w:val="00B56F0A"/>
    <w:rsid w:val="00B57854"/>
    <w:rsid w:val="00B60890"/>
    <w:rsid w:val="00B61635"/>
    <w:rsid w:val="00B618A2"/>
    <w:rsid w:val="00B619C6"/>
    <w:rsid w:val="00B62C61"/>
    <w:rsid w:val="00B63BFD"/>
    <w:rsid w:val="00B64647"/>
    <w:rsid w:val="00B65258"/>
    <w:rsid w:val="00B767BB"/>
    <w:rsid w:val="00B76FB9"/>
    <w:rsid w:val="00B7779F"/>
    <w:rsid w:val="00B802F3"/>
    <w:rsid w:val="00B82EF5"/>
    <w:rsid w:val="00B85234"/>
    <w:rsid w:val="00B854AD"/>
    <w:rsid w:val="00B918AB"/>
    <w:rsid w:val="00B96569"/>
    <w:rsid w:val="00B967B2"/>
    <w:rsid w:val="00B9798A"/>
    <w:rsid w:val="00BA0404"/>
    <w:rsid w:val="00BA04AA"/>
    <w:rsid w:val="00BA1CBC"/>
    <w:rsid w:val="00BA2CE0"/>
    <w:rsid w:val="00BA3B30"/>
    <w:rsid w:val="00BA55E9"/>
    <w:rsid w:val="00BB115D"/>
    <w:rsid w:val="00BB1D6D"/>
    <w:rsid w:val="00BB2999"/>
    <w:rsid w:val="00BB7D13"/>
    <w:rsid w:val="00BC0940"/>
    <w:rsid w:val="00BC154A"/>
    <w:rsid w:val="00BC22AB"/>
    <w:rsid w:val="00BC22FA"/>
    <w:rsid w:val="00BC4975"/>
    <w:rsid w:val="00BC57C8"/>
    <w:rsid w:val="00BC7438"/>
    <w:rsid w:val="00BD127F"/>
    <w:rsid w:val="00BD3015"/>
    <w:rsid w:val="00BD402E"/>
    <w:rsid w:val="00BD5957"/>
    <w:rsid w:val="00BE0C99"/>
    <w:rsid w:val="00BE292B"/>
    <w:rsid w:val="00BE2CC2"/>
    <w:rsid w:val="00BE327D"/>
    <w:rsid w:val="00BE4DC0"/>
    <w:rsid w:val="00BE6196"/>
    <w:rsid w:val="00BE6537"/>
    <w:rsid w:val="00BF44FA"/>
    <w:rsid w:val="00BF543E"/>
    <w:rsid w:val="00BF56CD"/>
    <w:rsid w:val="00BF6165"/>
    <w:rsid w:val="00BF6A36"/>
    <w:rsid w:val="00C00A1A"/>
    <w:rsid w:val="00C01359"/>
    <w:rsid w:val="00C034C5"/>
    <w:rsid w:val="00C036AD"/>
    <w:rsid w:val="00C05517"/>
    <w:rsid w:val="00C07E07"/>
    <w:rsid w:val="00C100F3"/>
    <w:rsid w:val="00C12F88"/>
    <w:rsid w:val="00C13458"/>
    <w:rsid w:val="00C1399E"/>
    <w:rsid w:val="00C13B52"/>
    <w:rsid w:val="00C1443A"/>
    <w:rsid w:val="00C1557F"/>
    <w:rsid w:val="00C15B87"/>
    <w:rsid w:val="00C1753C"/>
    <w:rsid w:val="00C226FE"/>
    <w:rsid w:val="00C268ED"/>
    <w:rsid w:val="00C27E03"/>
    <w:rsid w:val="00C30838"/>
    <w:rsid w:val="00C3171E"/>
    <w:rsid w:val="00C321E9"/>
    <w:rsid w:val="00C36960"/>
    <w:rsid w:val="00C40532"/>
    <w:rsid w:val="00C40C6F"/>
    <w:rsid w:val="00C42FA3"/>
    <w:rsid w:val="00C458EF"/>
    <w:rsid w:val="00C472EE"/>
    <w:rsid w:val="00C5045F"/>
    <w:rsid w:val="00C50C01"/>
    <w:rsid w:val="00C52FB6"/>
    <w:rsid w:val="00C56D29"/>
    <w:rsid w:val="00C57F96"/>
    <w:rsid w:val="00C6043A"/>
    <w:rsid w:val="00C6247D"/>
    <w:rsid w:val="00C6352E"/>
    <w:rsid w:val="00C66DC5"/>
    <w:rsid w:val="00C7004A"/>
    <w:rsid w:val="00C711A1"/>
    <w:rsid w:val="00C733AA"/>
    <w:rsid w:val="00C74CDF"/>
    <w:rsid w:val="00C771A5"/>
    <w:rsid w:val="00C77B31"/>
    <w:rsid w:val="00C81EBE"/>
    <w:rsid w:val="00C82A01"/>
    <w:rsid w:val="00C83A57"/>
    <w:rsid w:val="00C85FFF"/>
    <w:rsid w:val="00C861C7"/>
    <w:rsid w:val="00C877A1"/>
    <w:rsid w:val="00C90573"/>
    <w:rsid w:val="00C91128"/>
    <w:rsid w:val="00C918D7"/>
    <w:rsid w:val="00C9437F"/>
    <w:rsid w:val="00C94695"/>
    <w:rsid w:val="00C94AE5"/>
    <w:rsid w:val="00C95391"/>
    <w:rsid w:val="00C96A03"/>
    <w:rsid w:val="00C9740F"/>
    <w:rsid w:val="00CA0AF8"/>
    <w:rsid w:val="00CA4CCC"/>
    <w:rsid w:val="00CA5DAA"/>
    <w:rsid w:val="00CA6A17"/>
    <w:rsid w:val="00CA6F20"/>
    <w:rsid w:val="00CB0FA4"/>
    <w:rsid w:val="00CB195C"/>
    <w:rsid w:val="00CB1BC5"/>
    <w:rsid w:val="00CB2A66"/>
    <w:rsid w:val="00CB7E57"/>
    <w:rsid w:val="00CC175E"/>
    <w:rsid w:val="00CC4C42"/>
    <w:rsid w:val="00CC571C"/>
    <w:rsid w:val="00CC5D4D"/>
    <w:rsid w:val="00CC7390"/>
    <w:rsid w:val="00CD168C"/>
    <w:rsid w:val="00CD31D8"/>
    <w:rsid w:val="00CD3A95"/>
    <w:rsid w:val="00CD5124"/>
    <w:rsid w:val="00CD600B"/>
    <w:rsid w:val="00CD7AB8"/>
    <w:rsid w:val="00CD7C21"/>
    <w:rsid w:val="00CE2145"/>
    <w:rsid w:val="00CE281E"/>
    <w:rsid w:val="00CE2C82"/>
    <w:rsid w:val="00CE2FE9"/>
    <w:rsid w:val="00CE4F92"/>
    <w:rsid w:val="00CE515A"/>
    <w:rsid w:val="00CE7B3B"/>
    <w:rsid w:val="00CF0F2C"/>
    <w:rsid w:val="00CF1888"/>
    <w:rsid w:val="00CF2026"/>
    <w:rsid w:val="00CF2181"/>
    <w:rsid w:val="00CF2E33"/>
    <w:rsid w:val="00CF5701"/>
    <w:rsid w:val="00CF6E62"/>
    <w:rsid w:val="00CF75CA"/>
    <w:rsid w:val="00D039CC"/>
    <w:rsid w:val="00D03AD3"/>
    <w:rsid w:val="00D03FFC"/>
    <w:rsid w:val="00D04C0B"/>
    <w:rsid w:val="00D04E91"/>
    <w:rsid w:val="00D0549E"/>
    <w:rsid w:val="00D1280B"/>
    <w:rsid w:val="00D15948"/>
    <w:rsid w:val="00D166C1"/>
    <w:rsid w:val="00D17430"/>
    <w:rsid w:val="00D17E78"/>
    <w:rsid w:val="00D235BA"/>
    <w:rsid w:val="00D24750"/>
    <w:rsid w:val="00D25973"/>
    <w:rsid w:val="00D26ABD"/>
    <w:rsid w:val="00D30108"/>
    <w:rsid w:val="00D30BEF"/>
    <w:rsid w:val="00D311A0"/>
    <w:rsid w:val="00D312F8"/>
    <w:rsid w:val="00D31FD6"/>
    <w:rsid w:val="00D33D25"/>
    <w:rsid w:val="00D37862"/>
    <w:rsid w:val="00D435C6"/>
    <w:rsid w:val="00D44A13"/>
    <w:rsid w:val="00D454E7"/>
    <w:rsid w:val="00D50DCA"/>
    <w:rsid w:val="00D50E4A"/>
    <w:rsid w:val="00D56983"/>
    <w:rsid w:val="00D60E59"/>
    <w:rsid w:val="00D62746"/>
    <w:rsid w:val="00D6342C"/>
    <w:rsid w:val="00D635D7"/>
    <w:rsid w:val="00D6526F"/>
    <w:rsid w:val="00D66C73"/>
    <w:rsid w:val="00D7276A"/>
    <w:rsid w:val="00D72B6D"/>
    <w:rsid w:val="00D7490A"/>
    <w:rsid w:val="00D7710F"/>
    <w:rsid w:val="00D777B1"/>
    <w:rsid w:val="00D77A02"/>
    <w:rsid w:val="00D85BD9"/>
    <w:rsid w:val="00D8689C"/>
    <w:rsid w:val="00D868E3"/>
    <w:rsid w:val="00D86C2E"/>
    <w:rsid w:val="00D8794F"/>
    <w:rsid w:val="00D9076A"/>
    <w:rsid w:val="00D909FB"/>
    <w:rsid w:val="00D938F1"/>
    <w:rsid w:val="00D93F27"/>
    <w:rsid w:val="00D94972"/>
    <w:rsid w:val="00DA056E"/>
    <w:rsid w:val="00DA19B3"/>
    <w:rsid w:val="00DA23EE"/>
    <w:rsid w:val="00DA2D4B"/>
    <w:rsid w:val="00DA4423"/>
    <w:rsid w:val="00DA6B59"/>
    <w:rsid w:val="00DA7D14"/>
    <w:rsid w:val="00DB3570"/>
    <w:rsid w:val="00DB5736"/>
    <w:rsid w:val="00DB6441"/>
    <w:rsid w:val="00DB6A64"/>
    <w:rsid w:val="00DB7585"/>
    <w:rsid w:val="00DC152A"/>
    <w:rsid w:val="00DC3DC5"/>
    <w:rsid w:val="00DC4089"/>
    <w:rsid w:val="00DD11B4"/>
    <w:rsid w:val="00DD16FA"/>
    <w:rsid w:val="00DD3790"/>
    <w:rsid w:val="00DD626F"/>
    <w:rsid w:val="00DD6664"/>
    <w:rsid w:val="00DD71E4"/>
    <w:rsid w:val="00DD783B"/>
    <w:rsid w:val="00DE4C2A"/>
    <w:rsid w:val="00DE6153"/>
    <w:rsid w:val="00DE63EE"/>
    <w:rsid w:val="00DE6E88"/>
    <w:rsid w:val="00DE6F24"/>
    <w:rsid w:val="00DF140F"/>
    <w:rsid w:val="00DF1D0A"/>
    <w:rsid w:val="00DF2B46"/>
    <w:rsid w:val="00DF3757"/>
    <w:rsid w:val="00DF4975"/>
    <w:rsid w:val="00DF49DE"/>
    <w:rsid w:val="00DF4A76"/>
    <w:rsid w:val="00DF5872"/>
    <w:rsid w:val="00E054F2"/>
    <w:rsid w:val="00E05E8E"/>
    <w:rsid w:val="00E06D5B"/>
    <w:rsid w:val="00E10B17"/>
    <w:rsid w:val="00E11629"/>
    <w:rsid w:val="00E11CCF"/>
    <w:rsid w:val="00E122CC"/>
    <w:rsid w:val="00E15F8C"/>
    <w:rsid w:val="00E17944"/>
    <w:rsid w:val="00E235EA"/>
    <w:rsid w:val="00E24B57"/>
    <w:rsid w:val="00E2502F"/>
    <w:rsid w:val="00E25445"/>
    <w:rsid w:val="00E2788A"/>
    <w:rsid w:val="00E319E1"/>
    <w:rsid w:val="00E337C6"/>
    <w:rsid w:val="00E3557C"/>
    <w:rsid w:val="00E436A7"/>
    <w:rsid w:val="00E43755"/>
    <w:rsid w:val="00E44CC0"/>
    <w:rsid w:val="00E456BC"/>
    <w:rsid w:val="00E47267"/>
    <w:rsid w:val="00E55FF5"/>
    <w:rsid w:val="00E60754"/>
    <w:rsid w:val="00E625C0"/>
    <w:rsid w:val="00E63A99"/>
    <w:rsid w:val="00E70401"/>
    <w:rsid w:val="00E71555"/>
    <w:rsid w:val="00E72185"/>
    <w:rsid w:val="00E7326E"/>
    <w:rsid w:val="00E73A33"/>
    <w:rsid w:val="00E839B9"/>
    <w:rsid w:val="00E864AC"/>
    <w:rsid w:val="00E91279"/>
    <w:rsid w:val="00E91AD3"/>
    <w:rsid w:val="00E961EA"/>
    <w:rsid w:val="00E97368"/>
    <w:rsid w:val="00EA391C"/>
    <w:rsid w:val="00EA53DE"/>
    <w:rsid w:val="00EA5648"/>
    <w:rsid w:val="00EA5989"/>
    <w:rsid w:val="00EA6EB8"/>
    <w:rsid w:val="00EA6F32"/>
    <w:rsid w:val="00EB22EC"/>
    <w:rsid w:val="00EB3FEC"/>
    <w:rsid w:val="00EB648D"/>
    <w:rsid w:val="00EC03BF"/>
    <w:rsid w:val="00EC1BD3"/>
    <w:rsid w:val="00EC2710"/>
    <w:rsid w:val="00EC27D2"/>
    <w:rsid w:val="00EC2B34"/>
    <w:rsid w:val="00EC3A5E"/>
    <w:rsid w:val="00EC504A"/>
    <w:rsid w:val="00EC5E8D"/>
    <w:rsid w:val="00ED3E9D"/>
    <w:rsid w:val="00ED5FB2"/>
    <w:rsid w:val="00EE14E4"/>
    <w:rsid w:val="00EE3EF1"/>
    <w:rsid w:val="00EE4F6A"/>
    <w:rsid w:val="00EE7451"/>
    <w:rsid w:val="00EF179D"/>
    <w:rsid w:val="00EF1803"/>
    <w:rsid w:val="00EF1B56"/>
    <w:rsid w:val="00EF3E0A"/>
    <w:rsid w:val="00EF4575"/>
    <w:rsid w:val="00EF7CDD"/>
    <w:rsid w:val="00F0009B"/>
    <w:rsid w:val="00F04C29"/>
    <w:rsid w:val="00F04F87"/>
    <w:rsid w:val="00F10699"/>
    <w:rsid w:val="00F12E50"/>
    <w:rsid w:val="00F13092"/>
    <w:rsid w:val="00F1334F"/>
    <w:rsid w:val="00F14078"/>
    <w:rsid w:val="00F16FAE"/>
    <w:rsid w:val="00F2023F"/>
    <w:rsid w:val="00F20D9C"/>
    <w:rsid w:val="00F21B06"/>
    <w:rsid w:val="00F22528"/>
    <w:rsid w:val="00F23903"/>
    <w:rsid w:val="00F30BA9"/>
    <w:rsid w:val="00F3400E"/>
    <w:rsid w:val="00F3496B"/>
    <w:rsid w:val="00F36525"/>
    <w:rsid w:val="00F43DF7"/>
    <w:rsid w:val="00F47FF0"/>
    <w:rsid w:val="00F50AFC"/>
    <w:rsid w:val="00F51197"/>
    <w:rsid w:val="00F513C0"/>
    <w:rsid w:val="00F52F6C"/>
    <w:rsid w:val="00F54EA4"/>
    <w:rsid w:val="00F56047"/>
    <w:rsid w:val="00F574CC"/>
    <w:rsid w:val="00F61C94"/>
    <w:rsid w:val="00F6341F"/>
    <w:rsid w:val="00F644A1"/>
    <w:rsid w:val="00F67ED0"/>
    <w:rsid w:val="00F67FF4"/>
    <w:rsid w:val="00F7019D"/>
    <w:rsid w:val="00F72764"/>
    <w:rsid w:val="00F81739"/>
    <w:rsid w:val="00F8396A"/>
    <w:rsid w:val="00F84A02"/>
    <w:rsid w:val="00F85C58"/>
    <w:rsid w:val="00F86ADA"/>
    <w:rsid w:val="00F934A4"/>
    <w:rsid w:val="00F93FAD"/>
    <w:rsid w:val="00F9433A"/>
    <w:rsid w:val="00F94AD3"/>
    <w:rsid w:val="00F97882"/>
    <w:rsid w:val="00F97A67"/>
    <w:rsid w:val="00FA00DE"/>
    <w:rsid w:val="00FA01DC"/>
    <w:rsid w:val="00FA63AE"/>
    <w:rsid w:val="00FB19A9"/>
    <w:rsid w:val="00FB3EE6"/>
    <w:rsid w:val="00FB45E2"/>
    <w:rsid w:val="00FB57BF"/>
    <w:rsid w:val="00FB7C32"/>
    <w:rsid w:val="00FC4379"/>
    <w:rsid w:val="00FC6BE8"/>
    <w:rsid w:val="00FD1A89"/>
    <w:rsid w:val="00FE085A"/>
    <w:rsid w:val="00FE29DB"/>
    <w:rsid w:val="00FE484D"/>
    <w:rsid w:val="00FE7A8F"/>
    <w:rsid w:val="00FF3819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D6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paragraph" w:styleId="3">
    <w:name w:val="heading 3"/>
    <w:basedOn w:val="a"/>
    <w:link w:val="30"/>
    <w:uiPriority w:val="9"/>
    <w:qFormat/>
    <w:rsid w:val="00A54CF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table" w:styleId="ab">
    <w:name w:val="Table Grid"/>
    <w:basedOn w:val="a1"/>
    <w:uiPriority w:val="59"/>
    <w:unhideWhenUsed/>
    <w:rsid w:val="0042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A54CF9"/>
    <w:rPr>
      <w:rFonts w:ascii="Times New Roman" w:eastAsia="Times New Roman" w:hAnsi="Times New Roman" w:cs="Times New Roman"/>
      <w:b/>
      <w:bCs/>
      <w:kern w:val="0"/>
      <w:sz w:val="27"/>
      <w:szCs w:val="27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pt-PT"/>
    </w:rPr>
  </w:style>
  <w:style w:type="paragraph" w:styleId="3">
    <w:name w:val="heading 3"/>
    <w:basedOn w:val="a"/>
    <w:link w:val="30"/>
    <w:uiPriority w:val="9"/>
    <w:qFormat/>
    <w:rsid w:val="00A54CF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408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4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408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E2BE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7">
    <w:name w:val="List Paragraph"/>
    <w:basedOn w:val="a"/>
    <w:uiPriority w:val="34"/>
    <w:qFormat/>
    <w:rsid w:val="0066090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6C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A74BB4"/>
    <w:rPr>
      <w:i/>
      <w:iCs/>
    </w:rPr>
  </w:style>
  <w:style w:type="table" w:styleId="ab">
    <w:name w:val="Table Grid"/>
    <w:basedOn w:val="a1"/>
    <w:uiPriority w:val="59"/>
    <w:unhideWhenUsed/>
    <w:rsid w:val="0042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A54CF9"/>
    <w:rPr>
      <w:rFonts w:ascii="Times New Roman" w:eastAsia="Times New Roman" w:hAnsi="Times New Roman" w:cs="Times New Roman"/>
      <w:b/>
      <w:bCs/>
      <w:kern w:val="0"/>
      <w:sz w:val="27"/>
      <w:szCs w:val="27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infopedia.pt/dicionarios/lingua-portuguesa/medi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0B3F4-3F8F-4BF1-8716-D3AD39E24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4346</Words>
  <Characters>24776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FSM</Company>
  <LinksUpToDate>false</LinksUpToDate>
  <CharactersWithSpaces>29064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GSS</dc:creator>
  <cp:keywords>2020年上半年澳門罪案統計和執法工作數據總結簡報</cp:keywords>
  <cp:lastModifiedBy>Administrator</cp:lastModifiedBy>
  <cp:revision>3</cp:revision>
  <cp:lastPrinted>2022-03-01T10:32:00Z</cp:lastPrinted>
  <dcterms:created xsi:type="dcterms:W3CDTF">2022-03-02T11:00:00Z</dcterms:created>
  <dcterms:modified xsi:type="dcterms:W3CDTF">2022-03-02T11:01:00Z</dcterms:modified>
</cp:coreProperties>
</file>