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94" w:rsidRPr="000C701F" w:rsidRDefault="00A358F0" w:rsidP="00A358F0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val="pt-PT" w:eastAsia="zh-HK"/>
        </w:rPr>
      </w:pPr>
      <w:r w:rsidRPr="000C701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val="pt-PT" w:eastAsia="zh-HK"/>
        </w:rPr>
        <w:t>ESTATÍSTICA DA CRIMINALIDADE E DOS TRABALHOS DE EXECUÇÃO DA LEI DA PRIMEIRA METADE DO ANO 2020 EM MACAU</w:t>
      </w:r>
    </w:p>
    <w:p w:rsidR="008E5F94" w:rsidRPr="00370C6F" w:rsidRDefault="008E5F94" w:rsidP="001F09C3">
      <w:pPr>
        <w:widowControl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PT"/>
        </w:rPr>
      </w:pPr>
    </w:p>
    <w:p w:rsidR="00A358F0" w:rsidRPr="00F209F8" w:rsidRDefault="00A358F0" w:rsidP="00A358F0">
      <w:pPr>
        <w:spacing w:beforeLines="50" w:before="18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lang w:val="pt-PT"/>
        </w:rPr>
      </w:pPr>
      <w:r w:rsidRPr="00F209F8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lang w:val="pt-PT"/>
        </w:rPr>
        <w:t>Caros amigos do sector de comunicação social:</w:t>
      </w:r>
    </w:p>
    <w:p w:rsidR="00B14DD9" w:rsidRPr="00370C6F" w:rsidRDefault="00250C28" w:rsidP="00B14DD9">
      <w:pPr>
        <w:pStyle w:val="5"/>
        <w:shd w:val="clear" w:color="auto" w:fill="FFFFFF"/>
        <w:ind w:firstLine="480"/>
        <w:jc w:val="both"/>
        <w:rPr>
          <w:rFonts w:eastAsia="標楷體"/>
          <w:b w:val="0"/>
          <w:sz w:val="28"/>
          <w:szCs w:val="28"/>
        </w:rPr>
      </w:pPr>
      <w:r w:rsidRPr="00370C6F">
        <w:rPr>
          <w:rFonts w:eastAsia="標楷體"/>
          <w:b w:val="0"/>
          <w:sz w:val="28"/>
          <w:szCs w:val="28"/>
        </w:rPr>
        <w:t xml:space="preserve">No início do ano 2020, </w:t>
      </w:r>
      <w:r w:rsidR="00B14DD9" w:rsidRPr="00370C6F">
        <w:rPr>
          <w:rFonts w:eastAsia="標楷體"/>
          <w:b w:val="0"/>
          <w:sz w:val="28"/>
          <w:szCs w:val="28"/>
        </w:rPr>
        <w:t>a</w:t>
      </w:r>
      <w:r w:rsidRPr="00370C6F">
        <w:rPr>
          <w:rFonts w:eastAsia="標楷體"/>
          <w:b w:val="0"/>
          <w:sz w:val="28"/>
          <w:szCs w:val="28"/>
        </w:rPr>
        <w:t xml:space="preserve"> pneumonia causada pelo novo tipo de coronavírus espalhou-se rapidamente por todo o mundo</w:t>
      </w:r>
      <w:r w:rsidR="00B14DD9" w:rsidRPr="00370C6F">
        <w:rPr>
          <w:rFonts w:eastAsia="標楷體"/>
          <w:b w:val="0"/>
          <w:sz w:val="28"/>
          <w:szCs w:val="28"/>
        </w:rPr>
        <w:t xml:space="preserve">. O Governo da RAEM </w:t>
      </w:r>
      <w:r w:rsidR="00092B1E">
        <w:rPr>
          <w:rFonts w:eastAsia="標楷體"/>
          <w:b w:val="0"/>
          <w:sz w:val="28"/>
          <w:szCs w:val="28"/>
        </w:rPr>
        <w:t>reagiu de imediato com a criação d</w:t>
      </w:r>
      <w:r w:rsidR="00B14DD9" w:rsidRPr="00370C6F">
        <w:rPr>
          <w:rFonts w:eastAsia="標楷體"/>
          <w:b w:val="0"/>
          <w:sz w:val="28"/>
          <w:szCs w:val="28"/>
        </w:rPr>
        <w:t>o “Centro de Coordenação de Contingência do Novo Tipo de Coronavírus</w:t>
      </w:r>
      <w:r w:rsidR="009B024F" w:rsidRPr="00370C6F">
        <w:rPr>
          <w:rFonts w:eastAsia="標楷體"/>
          <w:b w:val="0"/>
          <w:sz w:val="28"/>
          <w:szCs w:val="28"/>
        </w:rPr>
        <w:t>”</w:t>
      </w:r>
      <w:r w:rsidR="00092B1E">
        <w:rPr>
          <w:rFonts w:eastAsia="標楷體"/>
          <w:b w:val="0"/>
          <w:sz w:val="28"/>
          <w:szCs w:val="28"/>
        </w:rPr>
        <w:t xml:space="preserve"> e</w:t>
      </w:r>
      <w:r w:rsidR="002078AF" w:rsidRPr="00370C6F">
        <w:rPr>
          <w:rFonts w:eastAsia="標楷體"/>
          <w:b w:val="0"/>
          <w:sz w:val="28"/>
          <w:szCs w:val="28"/>
        </w:rPr>
        <w:t xml:space="preserve"> adoptou de forma decisiva uma série de medidas de prevenção epidémica, interrompendo a propagação da doença na comunidade de Macau, bem como controlando com eficiência </w:t>
      </w:r>
      <w:r w:rsidR="00E20AE0">
        <w:rPr>
          <w:rFonts w:eastAsia="標楷體"/>
          <w:b w:val="0"/>
          <w:sz w:val="28"/>
          <w:szCs w:val="28"/>
        </w:rPr>
        <w:t>a 2.</w:t>
      </w:r>
      <w:r w:rsidR="00E20AE0" w:rsidRPr="00E20AE0">
        <w:rPr>
          <w:rFonts w:eastAsia="標楷體"/>
          <w:b w:val="0"/>
          <w:sz w:val="28"/>
          <w:szCs w:val="28"/>
          <w:vertAlign w:val="superscript"/>
        </w:rPr>
        <w:t>a</w:t>
      </w:r>
      <w:r w:rsidR="00E20AE0">
        <w:rPr>
          <w:rFonts w:eastAsia="標楷體"/>
          <w:b w:val="0"/>
          <w:sz w:val="28"/>
          <w:szCs w:val="28"/>
        </w:rPr>
        <w:t xml:space="preserve"> </w:t>
      </w:r>
      <w:r w:rsidR="003050CB" w:rsidRPr="00370C6F">
        <w:rPr>
          <w:rFonts w:eastAsia="標楷體"/>
          <w:b w:val="0"/>
          <w:sz w:val="28"/>
          <w:szCs w:val="28"/>
        </w:rPr>
        <w:t>onda de epidemia de</w:t>
      </w:r>
      <w:r w:rsidR="002078AF" w:rsidRPr="00370C6F">
        <w:rPr>
          <w:rFonts w:eastAsia="標楷體"/>
          <w:b w:val="0"/>
          <w:sz w:val="28"/>
          <w:szCs w:val="28"/>
        </w:rPr>
        <w:t xml:space="preserve"> importação</w:t>
      </w:r>
      <w:r w:rsidR="003050CB" w:rsidRPr="00370C6F">
        <w:rPr>
          <w:rFonts w:eastAsia="標楷體"/>
          <w:b w:val="0"/>
          <w:sz w:val="28"/>
          <w:szCs w:val="28"/>
        </w:rPr>
        <w:t xml:space="preserve"> de casos exteriores</w:t>
      </w:r>
      <w:r w:rsidR="0056064B" w:rsidRPr="00370C6F">
        <w:rPr>
          <w:rFonts w:eastAsia="標楷體"/>
          <w:b w:val="0"/>
          <w:sz w:val="28"/>
          <w:szCs w:val="28"/>
        </w:rPr>
        <w:t>.</w:t>
      </w:r>
      <w:r w:rsidR="00424D55" w:rsidRPr="00370C6F">
        <w:rPr>
          <w:rFonts w:eastAsia="標楷體"/>
          <w:b w:val="0"/>
          <w:sz w:val="28"/>
          <w:szCs w:val="28"/>
        </w:rPr>
        <w:t xml:space="preserve"> Durante o período </w:t>
      </w:r>
      <w:r w:rsidR="00092B1E">
        <w:rPr>
          <w:rFonts w:eastAsia="標楷體"/>
          <w:b w:val="0"/>
          <w:sz w:val="28"/>
          <w:szCs w:val="28"/>
        </w:rPr>
        <w:t>epidémico</w:t>
      </w:r>
      <w:r w:rsidR="00424D55" w:rsidRPr="00370C6F">
        <w:rPr>
          <w:rFonts w:eastAsia="標楷體"/>
          <w:b w:val="0"/>
          <w:sz w:val="28"/>
          <w:szCs w:val="28"/>
        </w:rPr>
        <w:t xml:space="preserve">, a área de segurança </w:t>
      </w:r>
      <w:r w:rsidR="00092B1E">
        <w:rPr>
          <w:rFonts w:eastAsia="標楷體"/>
          <w:b w:val="0"/>
          <w:sz w:val="28"/>
          <w:szCs w:val="28"/>
        </w:rPr>
        <w:t>reuniu</w:t>
      </w:r>
      <w:r w:rsidR="00424D55" w:rsidRPr="00370C6F">
        <w:rPr>
          <w:rFonts w:eastAsia="標楷體"/>
          <w:b w:val="0"/>
          <w:sz w:val="28"/>
          <w:szCs w:val="28"/>
        </w:rPr>
        <w:t xml:space="preserve"> todo</w:t>
      </w:r>
      <w:r w:rsidR="00092B1E">
        <w:rPr>
          <w:rFonts w:eastAsia="標楷體"/>
          <w:b w:val="0"/>
          <w:sz w:val="28"/>
          <w:szCs w:val="28"/>
        </w:rPr>
        <w:t xml:space="preserve">s </w:t>
      </w:r>
      <w:r w:rsidR="00424D55" w:rsidRPr="00370C6F">
        <w:rPr>
          <w:rFonts w:eastAsia="標楷體"/>
          <w:b w:val="0"/>
          <w:sz w:val="28"/>
          <w:szCs w:val="28"/>
        </w:rPr>
        <w:t>o</w:t>
      </w:r>
      <w:r w:rsidR="00092B1E">
        <w:rPr>
          <w:rFonts w:eastAsia="標楷體"/>
          <w:b w:val="0"/>
          <w:sz w:val="28"/>
          <w:szCs w:val="28"/>
        </w:rPr>
        <w:t>s</w:t>
      </w:r>
      <w:r w:rsidR="00424D55" w:rsidRPr="00370C6F">
        <w:rPr>
          <w:rFonts w:eastAsia="標楷體"/>
          <w:b w:val="0"/>
          <w:sz w:val="28"/>
          <w:szCs w:val="28"/>
        </w:rPr>
        <w:t xml:space="preserve"> esforços para se articular com a</w:t>
      </w:r>
      <w:r w:rsidR="00092B1E">
        <w:rPr>
          <w:rFonts w:eastAsia="標楷體"/>
          <w:b w:val="0"/>
          <w:sz w:val="28"/>
          <w:szCs w:val="28"/>
        </w:rPr>
        <w:t>s medidas</w:t>
      </w:r>
      <w:r w:rsidR="00424D55" w:rsidRPr="00370C6F">
        <w:rPr>
          <w:rFonts w:eastAsia="標楷體"/>
          <w:b w:val="0"/>
          <w:sz w:val="28"/>
          <w:szCs w:val="28"/>
        </w:rPr>
        <w:t xml:space="preserve"> implementa</w:t>
      </w:r>
      <w:r w:rsidR="00092B1E">
        <w:rPr>
          <w:rFonts w:eastAsia="標楷體"/>
          <w:b w:val="0"/>
          <w:sz w:val="28"/>
          <w:szCs w:val="28"/>
        </w:rPr>
        <w:t>das pel</w:t>
      </w:r>
      <w:r w:rsidR="00092B1E" w:rsidRPr="00370C6F">
        <w:rPr>
          <w:rFonts w:eastAsia="標楷體"/>
          <w:b w:val="0"/>
          <w:sz w:val="28"/>
          <w:szCs w:val="28"/>
        </w:rPr>
        <w:t xml:space="preserve">o </w:t>
      </w:r>
      <w:r w:rsidR="00424D55" w:rsidRPr="00370C6F">
        <w:rPr>
          <w:rFonts w:eastAsia="標楷體"/>
          <w:b w:val="0"/>
          <w:sz w:val="28"/>
          <w:szCs w:val="28"/>
        </w:rPr>
        <w:t>Governo da RAEM</w:t>
      </w:r>
      <w:r w:rsidR="00092B1E">
        <w:rPr>
          <w:rFonts w:eastAsia="標楷體"/>
          <w:b w:val="0"/>
          <w:sz w:val="28"/>
          <w:szCs w:val="28"/>
        </w:rPr>
        <w:t>. Simultaneamente, e</w:t>
      </w:r>
      <w:r w:rsidR="00424D55" w:rsidRPr="00370C6F">
        <w:rPr>
          <w:rFonts w:eastAsia="標楷體"/>
          <w:b w:val="0"/>
          <w:sz w:val="28"/>
          <w:szCs w:val="28"/>
        </w:rPr>
        <w:t xml:space="preserve">, sem baixar a guarda nos trabalhos de prevenção e combate a actos ilegais e criminais, </w:t>
      </w:r>
      <w:r w:rsidR="005C6F75" w:rsidRPr="00370C6F">
        <w:rPr>
          <w:rFonts w:eastAsia="標楷體"/>
          <w:b w:val="0"/>
          <w:sz w:val="28"/>
          <w:szCs w:val="28"/>
        </w:rPr>
        <w:t>mantev</w:t>
      </w:r>
      <w:r w:rsidR="005C6F75">
        <w:rPr>
          <w:rFonts w:eastAsia="標楷體"/>
          <w:b w:val="0"/>
          <w:sz w:val="28"/>
          <w:szCs w:val="28"/>
        </w:rPr>
        <w:t>e</w:t>
      </w:r>
      <w:r w:rsidR="00424D55" w:rsidRPr="00370C6F">
        <w:rPr>
          <w:rFonts w:eastAsia="標楷體"/>
          <w:b w:val="0"/>
          <w:sz w:val="28"/>
          <w:szCs w:val="28"/>
        </w:rPr>
        <w:t xml:space="preserve"> a estabilidade da sociedade e </w:t>
      </w:r>
      <w:r w:rsidR="00092B1E">
        <w:rPr>
          <w:rFonts w:eastAsia="標楷體"/>
          <w:b w:val="0"/>
          <w:sz w:val="28"/>
          <w:szCs w:val="28"/>
        </w:rPr>
        <w:t xml:space="preserve">cuidou de </w:t>
      </w:r>
      <w:r w:rsidR="00092B1E" w:rsidRPr="00370C6F">
        <w:rPr>
          <w:rFonts w:eastAsia="標楷體"/>
          <w:b w:val="0"/>
          <w:sz w:val="28"/>
          <w:szCs w:val="28"/>
        </w:rPr>
        <w:t>protege</w:t>
      </w:r>
      <w:r w:rsidR="00092B1E">
        <w:rPr>
          <w:rFonts w:eastAsia="標楷體"/>
          <w:b w:val="0"/>
          <w:sz w:val="28"/>
          <w:szCs w:val="28"/>
        </w:rPr>
        <w:t>r</w:t>
      </w:r>
      <w:r w:rsidR="00092B1E" w:rsidRPr="00370C6F">
        <w:rPr>
          <w:rFonts w:eastAsia="標楷體"/>
          <w:b w:val="0"/>
          <w:sz w:val="28"/>
          <w:szCs w:val="28"/>
        </w:rPr>
        <w:t xml:space="preserve"> </w:t>
      </w:r>
      <w:r w:rsidR="00424D55" w:rsidRPr="00370C6F">
        <w:rPr>
          <w:rFonts w:eastAsia="標楷體"/>
          <w:b w:val="0"/>
          <w:sz w:val="28"/>
          <w:szCs w:val="28"/>
        </w:rPr>
        <w:t xml:space="preserve">a segurança da vida e dos bens dos residentes. </w:t>
      </w:r>
    </w:p>
    <w:p w:rsidR="008D3ED6" w:rsidRPr="00370C6F" w:rsidRDefault="00092B1E" w:rsidP="008D3ED6">
      <w:pPr>
        <w:pStyle w:val="5"/>
        <w:shd w:val="clear" w:color="auto" w:fill="FFFFFF"/>
        <w:ind w:firstLine="480"/>
        <w:jc w:val="both"/>
        <w:rPr>
          <w:rFonts w:eastAsia="標楷體"/>
          <w:b w:val="0"/>
          <w:sz w:val="28"/>
          <w:szCs w:val="28"/>
        </w:rPr>
      </w:pPr>
      <w:r>
        <w:rPr>
          <w:rFonts w:eastAsia="標楷體"/>
          <w:b w:val="0"/>
          <w:sz w:val="28"/>
          <w:szCs w:val="28"/>
        </w:rPr>
        <w:t>De seguida, e para que sirva de referência, expomos os dados</w:t>
      </w:r>
      <w:r w:rsidRPr="00370C6F">
        <w:rPr>
          <w:rFonts w:eastAsia="標楷體"/>
          <w:b w:val="0"/>
          <w:sz w:val="28"/>
          <w:szCs w:val="28"/>
        </w:rPr>
        <w:t xml:space="preserve"> estatístic</w:t>
      </w:r>
      <w:r>
        <w:rPr>
          <w:rFonts w:eastAsia="標楷體"/>
          <w:b w:val="0"/>
          <w:sz w:val="28"/>
          <w:szCs w:val="28"/>
        </w:rPr>
        <w:t>o</w:t>
      </w:r>
      <w:r w:rsidRPr="00370C6F">
        <w:rPr>
          <w:rFonts w:eastAsia="標楷體"/>
          <w:b w:val="0"/>
          <w:sz w:val="28"/>
          <w:szCs w:val="28"/>
        </w:rPr>
        <w:t xml:space="preserve">s </w:t>
      </w:r>
      <w:r w:rsidR="008D3ED6" w:rsidRPr="00370C6F">
        <w:rPr>
          <w:rFonts w:eastAsia="標楷體"/>
          <w:b w:val="0"/>
          <w:sz w:val="28"/>
          <w:szCs w:val="28"/>
        </w:rPr>
        <w:t xml:space="preserve">da criminalidade e os </w:t>
      </w:r>
      <w:r>
        <w:rPr>
          <w:rFonts w:eastAsia="標楷體"/>
          <w:b w:val="0"/>
          <w:sz w:val="28"/>
          <w:szCs w:val="28"/>
        </w:rPr>
        <w:t xml:space="preserve">relativos à </w:t>
      </w:r>
      <w:r w:rsidR="008D3ED6" w:rsidRPr="00370C6F">
        <w:rPr>
          <w:rFonts w:eastAsia="標楷體"/>
          <w:b w:val="0"/>
          <w:sz w:val="28"/>
          <w:szCs w:val="28"/>
        </w:rPr>
        <w:t>execução da lei na</w:t>
      </w:r>
      <w:r w:rsidR="005749FA" w:rsidRPr="00370C6F">
        <w:rPr>
          <w:rFonts w:eastAsia="標楷體"/>
          <w:b w:val="0"/>
          <w:sz w:val="28"/>
          <w:szCs w:val="28"/>
        </w:rPr>
        <w:t xml:space="preserve"> primeira</w:t>
      </w:r>
      <w:r w:rsidR="008D3ED6" w:rsidRPr="00370C6F">
        <w:rPr>
          <w:rFonts w:eastAsia="標楷體"/>
          <w:b w:val="0"/>
          <w:sz w:val="28"/>
          <w:szCs w:val="28"/>
        </w:rPr>
        <w:t xml:space="preserve"> metade de 2020:</w:t>
      </w:r>
    </w:p>
    <w:p w:rsidR="009405F2" w:rsidRPr="00370C6F" w:rsidRDefault="009405F2" w:rsidP="009F5428">
      <w:pPr>
        <w:pStyle w:val="a7"/>
        <w:widowControl/>
        <w:numPr>
          <w:ilvl w:val="0"/>
          <w:numId w:val="4"/>
        </w:numPr>
        <w:spacing w:beforeLines="50" w:before="180"/>
        <w:ind w:leftChars="0" w:left="283" w:hangingChars="101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Na primeira metade do ano 2020, a Polícia de Macau instaurou um total de </w:t>
      </w:r>
      <w:r w:rsidR="00467691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467691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691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inquéritos criminais, o que traduz uma diminuição de </w:t>
      </w:r>
      <w:r w:rsidR="00467691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2.229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casos, relativamente ao mesmo período do ano 201</w:t>
      </w:r>
      <w:r w:rsidR="00467691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9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representando uma descida de </w:t>
      </w:r>
      <w:r w:rsidR="003C6E4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3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</w:t>
      </w:r>
      <w:r w:rsidR="00CD3FE6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3C6E4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</w:t>
      </w:r>
      <w:r w:rsidR="00CD3FE6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%.</w:t>
      </w:r>
    </w:p>
    <w:p w:rsidR="00190087" w:rsidRPr="00370C6F" w:rsidRDefault="00E52614" w:rsidP="004D07C7">
      <w:pPr>
        <w:pStyle w:val="a7"/>
        <w:widowControl/>
        <w:numPr>
          <w:ilvl w:val="1"/>
          <w:numId w:val="5"/>
        </w:numPr>
        <w:spacing w:beforeLines="50" w:before="180"/>
        <w:ind w:leftChars="0" w:hanging="482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Foram registados, no total, </w:t>
      </w:r>
      <w:r w:rsidR="0019008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961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de “crimes contra as pessoas”, uma descida de </w:t>
      </w:r>
      <w:r w:rsidR="0019008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22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19008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9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%, em comparação com o mesmo período do ano anterior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 De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entre estes, </w:t>
      </w:r>
      <w:r w:rsidR="0019008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crime de “sequestro”, vulgarmente conhecido por crime de “cárcere privado”, registaram-se </w:t>
      </w:r>
      <w:r w:rsidR="001B759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</w:t>
      </w:r>
      <w:r w:rsidR="0019008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9 casos, representando uma </w:t>
      </w:r>
      <w:r w:rsidR="001B759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descida </w:t>
      </w:r>
      <w:r w:rsidR="0019008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1B759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140</w:t>
      </w:r>
      <w:r w:rsidR="005C6F7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</w:t>
      </w:r>
      <w:r w:rsidR="0019008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comparativamente ao mesmo período do ano passado</w:t>
      </w:r>
      <w:r w:rsidR="00BE5F42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uma descida significativa de 82,8%.</w:t>
      </w:r>
      <w:r w:rsidR="00440381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Quanto ao crime de “ofensa simples à integridade física”, registaram-se 601 casos, representando uma descida de 62 casos comparativamente ao mesmo período do ano </w:t>
      </w:r>
      <w:r w:rsidR="00440381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 xml:space="preserve">2019, um decréscimo de </w:t>
      </w:r>
      <w:r w:rsidR="00B2518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9</w:t>
      </w:r>
      <w:r w:rsidR="00440381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B2518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</w:t>
      </w:r>
      <w:r w:rsidR="00440381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</w:t>
      </w:r>
      <w:r w:rsidR="00377D6A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No crime de “violação”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foram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regista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dos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13 casos,</w:t>
      </w:r>
      <w:r w:rsidR="005C6F7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significando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uma descida de 10 casos em comparação com o período homólogo</w:t>
      </w:r>
      <w:r w:rsidR="005C6F7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do ano transacto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uma descida de 43,5%. Registaram-se 48 casos de crime de “injúria”, uma subida de 10 casos comparados com o período homólogo</w:t>
      </w:r>
      <w:r w:rsidR="0017707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do ano passado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uma subida de 26,3%.</w:t>
      </w:r>
      <w:r w:rsidR="00201FB3" w:rsidRPr="00370C6F">
        <w:rPr>
          <w:b/>
          <w:bCs/>
          <w:color w:val="000000"/>
          <w:sz w:val="27"/>
          <w:szCs w:val="27"/>
          <w:lang w:val="pt-PT"/>
        </w:rPr>
        <w:t xml:space="preserve"> 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Registaram-se 10 casos de crime de “</w:t>
      </w:r>
      <w:r w:rsidR="007F16C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abuso 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sexual de crianças”, um aumento de 5 casos em comparação com o período homólogo </w:t>
      </w:r>
      <w:r w:rsidR="006A1F7A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 2019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ou seja, duplicaram os</w:t>
      </w:r>
      <w:r w:rsidR="00E70EFD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</w:t>
      </w:r>
      <w:r w:rsidR="00201FB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</w:p>
    <w:p w:rsidR="004D07C7" w:rsidRPr="00370C6F" w:rsidRDefault="004D07C7" w:rsidP="004D07C7">
      <w:pPr>
        <w:pStyle w:val="a7"/>
        <w:widowControl/>
        <w:numPr>
          <w:ilvl w:val="1"/>
          <w:numId w:val="5"/>
        </w:numPr>
        <w:spacing w:beforeLines="50" w:before="180"/>
        <w:ind w:leftChars="0" w:hanging="482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Foram registados, no total, 2.608 casos de “crimes contra o património”, representando uma diminuição de 1.628 casos relativamente ao período homólogo do ano passado, o que significa uma descida de 38,4%, sendo de referir, os crimes de “usura”, vulgarmente conhecidos por “agiotagem”,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tipologia que registou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50 casos, um decréscimo de 246 casos, corresponde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ndo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 uma descida significativa de 83,1%, em comparação com o período homólogo do ano transacto; neste grupo, os crimes de “burla”, 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registaram</w:t>
      </w:r>
      <w:r w:rsidR="00092B1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445 casos, uma descida de 149 casos</w:t>
      </w:r>
      <w:r w:rsidR="005D52B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comparados com o mesmo período do ano passado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 que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representa um decréscimo de 25,1%; quanto aos crimes de “furto” e “</w:t>
      </w:r>
      <w:r w:rsidR="005D52B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roubo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”, registaram-se </w:t>
      </w:r>
      <w:r w:rsidR="005D52B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659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</w:t>
      </w:r>
      <w:r w:rsidR="005D52B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18 casos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5D52B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descida de 689 e 20 casos 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quando comparado</w:t>
      </w:r>
      <w:r w:rsidR="005D52B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com o mesmo período do ano passado, 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assim </w:t>
      </w:r>
      <w:r w:rsidR="00092B1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representa</w:t>
      </w:r>
      <w:r w:rsidR="00092B1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ndo</w:t>
      </w:r>
      <w:r w:rsidR="00092B1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5D52B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um decréscimo de 51,1% e 52,6%</w:t>
      </w:r>
      <w:r w:rsidR="00534DE7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respectivamente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        </w:t>
      </w:r>
    </w:p>
    <w:p w:rsidR="009F5428" w:rsidRPr="00370C6F" w:rsidRDefault="009F5428" w:rsidP="009F5428">
      <w:pPr>
        <w:pStyle w:val="a7"/>
        <w:widowControl/>
        <w:numPr>
          <w:ilvl w:val="1"/>
          <w:numId w:val="5"/>
        </w:numPr>
        <w:spacing w:beforeLines="50" w:before="180"/>
        <w:ind w:leftChars="0" w:hanging="482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Relativamente ao</w:t>
      </w:r>
      <w:r w:rsidR="00D01B4F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“crimes contra a vida em sociedade”, registaram-se 322 casos, uma diminuição de 119 casos em comparação com o período homólogo do ano transacto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ou seja,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uma descida de 27%. 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 entre estes,</w:t>
      </w:r>
      <w:r w:rsidR="004766FA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os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crimes de “uso do documento de identificação de outrem”, </w:t>
      </w:r>
      <w:r w:rsidR="004766FA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regist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ou</w:t>
      </w:r>
      <w:r w:rsidR="004766FA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64 casos, representando uma subida de 31 casos, uma subida de 93,9%; nos crimes 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</w:t>
      </w:r>
      <w:r w:rsidR="004766FA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“falsificação de documento”</w:t>
      </w:r>
      <w:r w:rsidR="005B31F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5B31F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“fogo posto” registaram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-se</w:t>
      </w:r>
      <w:r w:rsidR="005B31F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138 e 18 casos,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um decréscimo de </w:t>
      </w:r>
      <w:r w:rsidR="005B31F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80 e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5B31F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</w:t>
      </w:r>
      <w:r w:rsidR="007E2F9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em comparação com o período homólogo do ano transacto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ou seja uma descida de </w:t>
      </w:r>
      <w:r w:rsidR="005B31F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36,7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</w:t>
      </w:r>
      <w:r w:rsidR="005B31F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5B31F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18,2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%, respectivamente.</w:t>
      </w:r>
    </w:p>
    <w:p w:rsidR="00D01B4F" w:rsidRPr="00370C6F" w:rsidRDefault="00D01B4F" w:rsidP="00D01B4F">
      <w:pPr>
        <w:pStyle w:val="a7"/>
        <w:widowControl/>
        <w:numPr>
          <w:ilvl w:val="1"/>
          <w:numId w:val="5"/>
        </w:numPr>
        <w:spacing w:beforeLines="50" w:before="180"/>
        <w:ind w:leftChars="0" w:hanging="482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Quanto ao grupo dos “crimes contra o território” foram registados</w:t>
      </w:r>
      <w:r w:rsidR="0037003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nos primeiros dois trimestres deste ano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no total, </w:t>
      </w:r>
      <w:r w:rsidR="0037003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222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casos, uma diminuição de 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178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comparativamente ao período homólogo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 xml:space="preserve">do ano transacto, significando uma descida de 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44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,5%, de entre os quais se anotam 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151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no “crime de desobediência”, significando uma descida de 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112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</w:t>
      </w:r>
      <w:r w:rsidR="00305F94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comparativamente ao período homólogo do ano transacto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ou seja</w:t>
      </w:r>
      <w:r w:rsidR="00F2309A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uma diminuição de 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42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6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%, 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por seu turno,</w:t>
      </w:r>
      <w:r w:rsidR="004766FA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“crime de falsidade de declaração” registaram-se 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40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casos, uma 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redução de 57 casos</w:t>
      </w:r>
      <w:r w:rsidR="00A54B0B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em comparação com o período homólogo do ano passado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representando uma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descida de 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58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AC695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8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%.</w:t>
      </w:r>
    </w:p>
    <w:p w:rsidR="00A97858" w:rsidRPr="00370C6F" w:rsidRDefault="00A97858" w:rsidP="00A97858">
      <w:pPr>
        <w:pStyle w:val="a7"/>
        <w:widowControl/>
        <w:numPr>
          <w:ilvl w:val="1"/>
          <w:numId w:val="5"/>
        </w:numPr>
        <w:spacing w:beforeLines="50" w:before="180"/>
        <w:ind w:leftChars="0" w:hanging="482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Registou-se um total de 5</w:t>
      </w:r>
      <w:r w:rsidR="00462C0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78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de “crimes não classificados noutros grupos” (Legislação Penal Avulsa), significando um </w:t>
      </w:r>
      <w:r w:rsidR="00462C0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decréscimo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462C0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18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casos, equivalente a uma </w:t>
      </w:r>
      <w:r w:rsidR="00462C03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descida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693EAD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3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 em comparação com o período homólogo do ano transacto</w:t>
      </w:r>
      <w:r w:rsidR="007C381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</w:t>
      </w:r>
      <w:bookmarkStart w:id="0" w:name="_GoBack"/>
      <w:bookmarkEnd w:id="0"/>
      <w:r w:rsidR="003F4C76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Quanto ao “tráfico de droga, registou-se um total de 34 casos, uma redução de 25 casos em comparação com o mesmo período de 2019, representando uma descida de 42,4%; ao “Crime informático”, registou-se 128 casos, uma redução de </w:t>
      </w:r>
      <w:r w:rsidR="00AD3A3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18</w:t>
      </w:r>
      <w:r w:rsidR="003F4C76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em comparação com o mesmo período </w:t>
      </w:r>
      <w:r w:rsidR="00AD3A3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do ano passado</w:t>
      </w:r>
      <w:r w:rsidR="003F4C76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representando uma descida de </w:t>
      </w:r>
      <w:r w:rsidR="00AD3A38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12,3</w:t>
      </w:r>
      <w:r w:rsidR="003F4C76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</w:t>
      </w:r>
      <w:r w:rsidR="00D92D3E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EB16F0"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</w:p>
    <w:p w:rsidR="00B82257" w:rsidRPr="00B82257" w:rsidRDefault="00B82257" w:rsidP="00B82257">
      <w:pPr>
        <w:pStyle w:val="a7"/>
        <w:widowControl/>
        <w:numPr>
          <w:ilvl w:val="0"/>
          <w:numId w:val="4"/>
        </w:numPr>
        <w:spacing w:beforeLines="50" w:before="180"/>
        <w:ind w:leftChars="0" w:left="283" w:hangingChars="101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Na primeira metade do ano 20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20</w:t>
      </w:r>
      <w:r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4766FA"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regista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ram-se</w:t>
      </w:r>
      <w:r w:rsidR="004766FA"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130</w:t>
      </w:r>
      <w:r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de “criminalidade violenta”, um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decréscimo </w:t>
      </w:r>
      <w:r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E20AE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193 casos,</w:t>
      </w:r>
      <w:r w:rsidR="00E20AE0" w:rsidRPr="00E20AE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E20AE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representando uma descida </w:t>
      </w:r>
      <w:r w:rsidR="00E20AE0"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</w:t>
      </w:r>
      <w:r w:rsidR="00E20AE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59</w:t>
      </w:r>
      <w:r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8</w:t>
      </w:r>
      <w:r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% comparando com o período homólogo do ano passado. No âmbito dos crimes de violência grave, de “rapto”, de “homicídio” e de “ofensas corporais graves”, continuamos a manter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boa situação de </w:t>
      </w:r>
      <w:r w:rsidRPr="00B8225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casuística muito baixa.</w:t>
      </w:r>
    </w:p>
    <w:p w:rsidR="009C5CC9" w:rsidRPr="00EF486E" w:rsidRDefault="00EF486E" w:rsidP="00EF486E">
      <w:pPr>
        <w:pStyle w:val="a7"/>
        <w:widowControl/>
        <w:numPr>
          <w:ilvl w:val="0"/>
          <w:numId w:val="4"/>
        </w:numPr>
        <w:spacing w:beforeLines="50" w:before="180"/>
        <w:ind w:leftChars="0" w:left="283" w:hangingChars="101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Quanto às acções de prevenção e combate 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à imigração ilegal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n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os primeiros dois trimestres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deste ano, registaram-se </w:t>
      </w:r>
      <w:r w:rsidR="00A256C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324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imigrantes ilegais, um </w:t>
      </w:r>
      <w:r w:rsidR="00A256C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decréscimo 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A256C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31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A256C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8%, representando uma descida 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A256C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151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indivíduos em comparação com o período homólogo do ano passado, dos quais </w:t>
      </w:r>
      <w:r w:rsidR="00A256C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265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são provenientes do interior da China e os restantes </w:t>
      </w:r>
      <w:r w:rsidR="00A256C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59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indivíduos são de outros países; por outro lado, foram registados </w:t>
      </w:r>
      <w:r w:rsidR="00B1191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7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B1191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148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pessoas em situação de excesso de permanência, uma redução de </w:t>
      </w:r>
      <w:r w:rsidR="00FE2F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6.181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pessoas, comparando com o mesmo período do ano transacto, o que significa uma descida de </w:t>
      </w:r>
      <w:r w:rsidR="00FE2F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46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FE2F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</w:t>
      </w:r>
      <w:r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%.</w:t>
      </w:r>
    </w:p>
    <w:p w:rsidR="00CE2BB1" w:rsidRDefault="00100877" w:rsidP="00CE2BB1">
      <w:pPr>
        <w:pStyle w:val="a7"/>
        <w:widowControl/>
        <w:numPr>
          <w:ilvl w:val="0"/>
          <w:numId w:val="4"/>
        </w:numPr>
        <w:spacing w:beforeLines="50" w:before="180"/>
        <w:ind w:leftChars="0" w:left="283" w:hangingChars="101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10087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âmbito da “delinquência juvenil” foram registados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24</w:t>
      </w:r>
      <w:r w:rsidRPr="0010087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e o envolvimento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34</w:t>
      </w:r>
      <w:r w:rsidRPr="0010087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jovens, representando um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decréscimo </w:t>
      </w:r>
      <w:r w:rsidRPr="0010087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11</w:t>
      </w:r>
      <w:r w:rsidRPr="0010087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</w:t>
      </w:r>
      <w:r w:rsidRPr="0010087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 xml:space="preserve">e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24</w:t>
      </w:r>
      <w:r w:rsidRPr="0010087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jovens, em comparação com o período homólogo do ano transacto.</w:t>
      </w:r>
      <w:r w:rsidR="00CE2BB1" w:rsidRPr="00CE2BB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</w:p>
    <w:p w:rsidR="00CE2BB1" w:rsidRPr="00CE2BB1" w:rsidRDefault="00CE2BB1" w:rsidP="00CE2BB1">
      <w:pPr>
        <w:pStyle w:val="a7"/>
        <w:widowControl/>
        <w:numPr>
          <w:ilvl w:val="0"/>
          <w:numId w:val="4"/>
        </w:numPr>
        <w:spacing w:beforeLines="50" w:before="180"/>
        <w:ind w:leftChars="0" w:left="283" w:hangingChars="101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CE2BB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Durante as operações policiais e operações de investigação efectuadas na primeira metade deste ano foram detidos e presentes ao Ministério Público um total </w:t>
      </w:r>
      <w:r w:rsidR="002978B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</w:t>
      </w:r>
      <w:r w:rsidRPr="00CE2BB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2978B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678</w:t>
      </w:r>
      <w:r w:rsidRPr="00CE2BB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indivíduos, </w:t>
      </w:r>
      <w:r w:rsidR="00B91413"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redução de </w:t>
      </w:r>
      <w:r w:rsidR="00B9141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1.590</w:t>
      </w:r>
      <w:r w:rsidR="00B91413"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B91413" w:rsidRPr="00CE2BB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indivíduos</w:t>
      </w:r>
      <w:r w:rsidR="00B91413"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comparando com o mesmo período do ano transacto, o que significa uma descida de </w:t>
      </w:r>
      <w:r w:rsidR="00B9141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</w:t>
      </w:r>
      <w:r w:rsidR="0054335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8</w:t>
      </w:r>
      <w:r w:rsidR="00B91413"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54335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7</w:t>
      </w:r>
      <w:r w:rsidR="00B91413" w:rsidRPr="00EF486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%.</w:t>
      </w:r>
    </w:p>
    <w:p w:rsidR="00C267F5" w:rsidRPr="00F56D92" w:rsidRDefault="00C267F5" w:rsidP="00F56D92">
      <w:pPr>
        <w:pStyle w:val="a7"/>
        <w:widowControl/>
        <w:numPr>
          <w:ilvl w:val="0"/>
          <w:numId w:val="4"/>
        </w:numPr>
        <w:spacing w:beforeLines="50" w:before="180"/>
        <w:ind w:leftChars="0" w:left="283" w:hangingChars="101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Desde a entrada em vigor do “Regime jurídico do transporte de passageiros em automóveis ligeiros de aluguer”, vulgarmente </w:t>
      </w:r>
      <w:r w:rsidR="009D1674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chamada a 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“nova lei </w:t>
      </w:r>
      <w:r w:rsidR="009D1674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</w:t>
      </w:r>
      <w:r w:rsidR="006A5437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á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xis”</w:t>
      </w:r>
      <w:r w:rsidR="008815F9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houve uma descida constante </w:t>
      </w:r>
      <w:r w:rsidR="00156FD4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8815F9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casos de infracção dos </w:t>
      </w:r>
      <w:r w:rsidR="00156FD4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taxistas</w:t>
      </w:r>
      <w:r w:rsidR="008815F9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156FD4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Nos primeiros dois trimestres deste ano, a Polícia efectuou autuações a 85 casos de infracção de taxistas, um decréscimo de 96,9%, representando uma descida de 2.700 casos em comparação com o período homólogo do ano passado</w:t>
      </w:r>
      <w:r w:rsidR="00865E42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Entre os quais, 3 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casos foram de cobrança excessiva (uma descida de </w:t>
      </w:r>
      <w:r w:rsidR="00865E42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9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9,</w:t>
      </w:r>
      <w:r w:rsidR="00865E42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8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%), </w:t>
      </w:r>
      <w:r w:rsidR="00865E42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26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de recusa de tomada de passageiros (uma descida de </w:t>
      </w:r>
      <w:r w:rsidR="00865E42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95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865E42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%)</w:t>
      </w:r>
      <w:r w:rsidR="00865E42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entre outras infracções foram 56 casos (uma descida de 84,5%).</w:t>
      </w:r>
      <w:r w:rsidR="00B62348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além disso, a Polícia efectuou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B62348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44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autuações de prestação de serviço de transporte ilegal, significando uma descida de </w:t>
      </w:r>
      <w:r w:rsidR="000366E6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30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0366E6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%, em com</w:t>
      </w:r>
      <w:r w:rsidR="00DA079C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paração com o período homólogo. No futuro, a Polícia continua a proceder 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</w:t>
      </w:r>
      <w:r w:rsidR="00DA079C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fiscalização</w:t>
      </w:r>
      <w:r w:rsidR="00DA079C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com rigor, bem como cooperar estreitamente com os serviços de gestão de tráfego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DA079C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salvaguardando a segurança e as facilidades de deslocação da população</w:t>
      </w:r>
      <w:r w:rsidR="0096219E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bem como </w:t>
      </w:r>
      <w:r w:rsidR="004766FA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se </w:t>
      </w:r>
      <w:r w:rsidR="0096219E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prepara</w:t>
      </w:r>
      <w:r w:rsidR="00DA079C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4766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da melhor forma</w:t>
      </w:r>
      <w:r w:rsidR="004766FA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DA079C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para as novas mudanças que</w:t>
      </w:r>
      <w:r w:rsidR="0096219E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podem ser causadas pela retoma da subida</w:t>
      </w:r>
      <w:r w:rsidR="00DA079C"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do número de turistas no futuro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 </w:t>
      </w:r>
    </w:p>
    <w:p w:rsidR="003D164F" w:rsidRPr="003D164F" w:rsidRDefault="003D164F" w:rsidP="003D164F">
      <w:pPr>
        <w:pStyle w:val="a7"/>
        <w:widowControl/>
        <w:numPr>
          <w:ilvl w:val="0"/>
          <w:numId w:val="4"/>
        </w:numPr>
        <w:spacing w:beforeLines="50" w:before="180"/>
        <w:ind w:leftChars="0" w:left="283" w:hangingChars="101" w:hanging="283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24235B">
        <w:rPr>
          <w:rFonts w:ascii="Times New Roman" w:eastAsia="標楷體" w:hAnsi="Times New Roman" w:cs="Times New Roman"/>
          <w:b/>
          <w:bCs/>
          <w:kern w:val="0"/>
          <w:sz w:val="28"/>
          <w:szCs w:val="28"/>
          <w:lang w:val="pt-PT"/>
        </w:rPr>
        <w:t>Conclusão</w:t>
      </w:r>
      <w:r w:rsidRPr="003D16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:</w:t>
      </w:r>
    </w:p>
    <w:p w:rsidR="003044AF" w:rsidRPr="003044AF" w:rsidRDefault="003044AF" w:rsidP="003044AF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color w:val="000000" w:themeColor="text1"/>
          <w:sz w:val="26"/>
          <w:szCs w:val="26"/>
          <w:lang w:val="pt-PT"/>
        </w:rPr>
      </w:pP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Resumindo as estatísticas da</w:t>
      </w:r>
      <w:r w:rsidRPr="00626F2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criminalidade e dos trabalhos de execução da lei da primeira metade do ano 20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20</w:t>
      </w:r>
      <w:r w:rsidRPr="00626F2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devido ao duplo impacto da situação </w:t>
      </w:r>
      <w:r w:rsidR="00DF0E60"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epidémica</w:t>
      </w: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</w:t>
      </w:r>
      <w:r w:rsidR="00DF0E6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</w:t>
      </w: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 </w:t>
      </w:r>
      <w:r w:rsidR="00DF0E6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reforço </w:t>
      </w: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contínuo das inspe</w:t>
      </w:r>
      <w:r w:rsidR="00DF0E6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</w:t>
      </w: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ções policiais,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constata-se </w:t>
      </w:r>
      <w:r w:rsidR="004F22D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descida de </w:t>
      </w: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principais tipos de crimes </w:t>
      </w:r>
      <w:r w:rsidR="004F22D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em Macau,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pelo que consideramos que </w:t>
      </w: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situação geral </w:t>
      </w:r>
      <w:r w:rsidR="00B1084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segurança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se apresentou como </w:t>
      </w:r>
      <w:r w:rsidR="00B1084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boa</w:t>
      </w:r>
      <w:r w:rsidRPr="003044A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</w:p>
    <w:p w:rsidR="005E7997" w:rsidRDefault="00255184" w:rsidP="00036902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A049DC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Na primeira metade do ano 2020 registaram-se 2 casos de homicídio: </w:t>
      </w:r>
      <w:r w:rsidR="00880625" w:rsidRPr="00A049DC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aconteceu em 19 de Janeiro, uma mulher do interior da China, desconfiou que o seu ex-namorado (residente de Macau) a tinha envenenado, e dirigiu-se à casa dele com uma faca para vingança, </w:t>
      </w:r>
      <w:r w:rsidR="00880625" w:rsidRPr="00A049DC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 xml:space="preserve">acabando por descobrir que o ex-namorado não estava em casa e atacou os seus familiares, causando uma morte e dois feridos; o 2.º caso foi acontecido em 20 de Abril, um homem, residente de Macau, matou a sua esposa devido a uma disputa familiar, o mesmo pretendia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ocultar</w:t>
      </w:r>
      <w:r w:rsidR="00D04863" w:rsidRPr="00A049DC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880625" w:rsidRPr="00A049DC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 local para uma morte após um roubo. </w:t>
      </w:r>
      <w:r w:rsidR="00A049DC" w:rsidRPr="005E799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Ambos os casos foram rapidamente resolvidos pela polícia, porém, os problemas </w:t>
      </w:r>
      <w:proofErr w:type="spellStart"/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socio-familiares</w:t>
      </w:r>
      <w:proofErr w:type="spellEnd"/>
      <w:r w:rsidR="00A049DC" w:rsidRPr="005E799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que os casos reflectem</w:t>
      </w:r>
      <w:r w:rsidR="00A049DC" w:rsidRPr="005E799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merecem a atenção de toda a sociedade</w:t>
      </w:r>
      <w:r w:rsidR="005E799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03690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036902" w:rsidRPr="0003690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 polícia</w:t>
      </w:r>
      <w:r w:rsidR="005E42E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através de vários canais de comunicação, nomeadamente, pela televisão e rádio e </w:t>
      </w:r>
      <w:proofErr w:type="gramStart"/>
      <w:r w:rsidR="005E42E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medias</w:t>
      </w:r>
      <w:proofErr w:type="gramEnd"/>
      <w:r w:rsidR="005E42E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sociais, fazer lembrar </w:t>
      </w:r>
      <w:r w:rsidR="00036902" w:rsidRPr="0003690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ao público que deve prestar atenção à segurança pessoal, independentemente de estarem </w:t>
      </w:r>
      <w:r w:rsidR="005E42E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ou não em </w:t>
      </w:r>
      <w:r w:rsidR="00036902" w:rsidRPr="0003690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casa. Se estiverem em perigo ou ameaçados por outr</w:t>
      </w:r>
      <w:r w:rsidR="00340AB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em</w:t>
      </w:r>
      <w:r w:rsidR="00036902" w:rsidRPr="0003690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devem procurar imediatamente ajuda </w:t>
      </w:r>
      <w:r w:rsidR="00340AB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junto à</w:t>
      </w:r>
      <w:r w:rsidR="00036902" w:rsidRPr="0003690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polícia.</w:t>
      </w:r>
    </w:p>
    <w:p w:rsidR="008D3D21" w:rsidRDefault="008D3D21" w:rsidP="0072501B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Nos primeiros dois trimestres deste ano foram registados 66 casos envolvidos com crimes sexuais, 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 decréscimo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29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8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%, representando uma descida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28 </w:t>
      </w:r>
      <w:r w:rsidRPr="00F56D9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casos em comparação com o período homólogo do ano passado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Nesta tipologia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6C333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os casos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 “violação” e de “</w:t>
      </w:r>
      <w:r w:rsidRPr="008D3D2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importunação sexual”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6C333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manifestam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descida significativa, mas </w:t>
      </w:r>
      <w:r w:rsidR="006C333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houve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subida de </w:t>
      </w:r>
      <w:r w:rsidRPr="00370C6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casos de crime de “abuso sexual de crianças”</w:t>
      </w:r>
      <w:r w:rsidR="00F67A2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6C333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Os dados mostram que este tipo de crime maioritariamente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ocorre</w:t>
      </w:r>
      <w:r w:rsidR="006C333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nas escolas e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em ambiente </w:t>
      </w:r>
      <w:r w:rsidR="006C333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familiar</w:t>
      </w:r>
      <w:r w:rsidR="00E2109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sendo deste núcleo, dos</w:t>
      </w:r>
      <w:r w:rsidR="00245A1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colegas da escola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 </w:t>
      </w:r>
      <w:r w:rsidR="00245A1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professores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a maioria dos abusadores</w:t>
      </w:r>
      <w:r w:rsidR="00245A1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B353A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Face a esta situação, no momento em que a Polícia </w:t>
      </w:r>
      <w:r w:rsidR="00D351E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reforça o combate </w:t>
      </w:r>
      <w:r w:rsidR="00D0486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este </w:t>
      </w:r>
      <w:r w:rsidR="00D351E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tipo crime, também coopera com os serviços relevantes na realização dos trabalhos de divulgação e educação, com vista a aumentar a consciência de autoprotecção dos menores, bem como incentivar os pais e o pessoal docente e não docente das escolas para prestarem mais atenção ao comportamento e às mudanças psicológicas das crianças.</w:t>
      </w:r>
      <w:r w:rsidR="00A560A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além disso, 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recentemente, ocorreram muitos casos de residentes ou </w:t>
      </w:r>
      <w:r w:rsidR="00F0642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trabalhadores não residentes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que </w:t>
      </w:r>
      <w:r w:rsidR="006164D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dissiparam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materiais p</w:t>
      </w:r>
      <w:r w:rsidR="006164D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ornográficos envolvendo menores. </w:t>
      </w:r>
      <w:r w:rsidR="006164D0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Após </w:t>
      </w:r>
      <w:r w:rsidR="006164D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estes 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serem </w:t>
      </w:r>
      <w:r w:rsidR="006164D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detidos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a maioria dos envolvidos </w:t>
      </w:r>
      <w:r w:rsidR="006164D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dos casos afirmaram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6164D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que não sabiam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que </w:t>
      </w:r>
      <w:r w:rsidR="006164D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os seus actos 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violavam a lei penal. Para o efeito, a </w:t>
      </w:r>
      <w:r w:rsidR="00A303D6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Polícia 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tem </w:t>
      </w:r>
      <w:r w:rsidR="00A303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efectuado divulgações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através de vários canais</w:t>
      </w:r>
      <w:r w:rsidR="00BF773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BF773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informando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o público de que tal </w:t>
      </w:r>
      <w:r w:rsidR="00BF773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acto 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constituirá crime e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constitui um desafio à </w:t>
      </w:r>
      <w:r w:rsidR="0072501B" w:rsidRPr="0072501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lei.</w:t>
      </w:r>
    </w:p>
    <w:p w:rsidR="00204729" w:rsidRPr="008F4CD9" w:rsidRDefault="00204729" w:rsidP="00FD527B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 xml:space="preserve">Na primeira metade deste ano, foram registados, no total, 18 casos de fogo posto, representando uma descida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18,2</w:t>
      </w:r>
      <w:r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% e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</w:t>
      </w:r>
      <w:r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casos, comparando com o </w:t>
      </w:r>
      <w:r w:rsidR="00525BC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período homólogo do ano passado</w:t>
      </w:r>
      <w:r w:rsidR="008F4CD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entre os quais 10 casos foram resolvidos</w:t>
      </w:r>
      <w:r w:rsidR="00525BC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8F4CD9" w:rsidRPr="008F4CD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Conforme a investigação policial, </w:t>
      </w:r>
      <w:r w:rsidR="009A271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13</w:t>
      </w:r>
      <w:r w:rsidR="008F4CD9" w:rsidRPr="008F4CD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dos </w:t>
      </w:r>
      <w:r w:rsidR="009A271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18</w:t>
      </w:r>
      <w:r w:rsidR="008F4CD9" w:rsidRPr="008F4CD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de fogo posto foram provocados por pontas de cigarro deixadas em lugar inapropriado</w:t>
      </w:r>
      <w:r w:rsid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q</w:t>
      </w:r>
      <w:r w:rsidR="00FD527B" w:rsidRP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ue ainda é a principal causa do incêndio</w:t>
      </w:r>
      <w:r w:rsidR="008F4CD9" w:rsidRPr="008F4CD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além de reforçar as inspecções de contra incêndios nas comunidades sociais, edifícios e entre outros locais públicos, o CB realizou na primeira metade deste ano mais de 10 palestras destinados ao público sobre o conhecimento de segurança contra incêndios</w:t>
      </w:r>
      <w:r w:rsidR="00903D4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iniciativa que contou </w:t>
      </w:r>
      <w:r w:rsid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com mais de 1.300 participantes, bem como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se continuou </w:t>
      </w:r>
      <w:r w:rsid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aproveitar os </w:t>
      </w:r>
      <w:r w:rsidR="00FD527B" w:rsidRP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painéis publicitários luminosos, televisão e r</w:t>
      </w:r>
      <w:r w:rsid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ádio, jornais,</w:t>
      </w:r>
      <w:r w:rsidR="00FD527B" w:rsidRP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plataforma de </w:t>
      </w:r>
      <w:proofErr w:type="gramStart"/>
      <w:r w:rsidR="00FD527B" w:rsidRPr="00FD527B">
        <w:rPr>
          <w:rFonts w:ascii="Times New Roman" w:eastAsia="標楷體" w:hAnsi="Times New Roman" w:cs="Times New Roman"/>
          <w:bCs/>
          <w:i/>
          <w:kern w:val="0"/>
          <w:sz w:val="28"/>
          <w:szCs w:val="28"/>
          <w:lang w:val="pt-PT"/>
        </w:rPr>
        <w:t>software</w:t>
      </w:r>
      <w:proofErr w:type="gramEnd"/>
      <w:r w:rsidR="00FD527B" w:rsidRP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social</w:t>
      </w:r>
      <w:r w:rsid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entre outras canais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FD52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divulgar as informações de segurança contra incêndios à população</w:t>
      </w:r>
      <w:r w:rsidR="007865D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</w:p>
    <w:p w:rsidR="00912485" w:rsidRDefault="00912485" w:rsidP="001A58C8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Entre Janeiro e Junho do corrente ano, foram registados 445 casos de burla, uma descida de 25,1%, comparando com o período homólogo do ano passado</w:t>
      </w:r>
      <w:r w:rsidR="00AE732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Entre os quais, 184 casos são envolvidos do uso de computador ou </w:t>
      </w:r>
      <w:r w:rsidR="00AE7329" w:rsidRPr="001A58C8">
        <w:rPr>
          <w:rFonts w:ascii="Times New Roman" w:eastAsia="標楷體" w:hAnsi="Times New Roman" w:cs="Times New Roman"/>
          <w:bCs/>
          <w:i/>
          <w:kern w:val="0"/>
          <w:sz w:val="28"/>
          <w:szCs w:val="28"/>
          <w:lang w:val="pt-PT"/>
        </w:rPr>
        <w:t>internet</w:t>
      </w:r>
      <w:r w:rsidR="00AE732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representando um aumento de 42,6% e de 55 casos, comparando com o período homólogo do ano passado.</w:t>
      </w:r>
      <w:r w:rsidR="007B7361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Desde final de Janeiro deste ano, </w:t>
      </w:r>
      <w:r w:rsidR="0097709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os malfeitores praticaram o crime de burla </w:t>
      </w:r>
      <w:proofErr w:type="gramStart"/>
      <w:r w:rsidR="00977097" w:rsidRPr="001A58C8">
        <w:rPr>
          <w:rFonts w:ascii="Times New Roman" w:eastAsia="標楷體" w:hAnsi="Times New Roman" w:cs="Times New Roman"/>
          <w:bCs/>
          <w:i/>
          <w:kern w:val="0"/>
          <w:sz w:val="28"/>
          <w:szCs w:val="28"/>
          <w:lang w:val="pt-PT"/>
        </w:rPr>
        <w:t>online</w:t>
      </w:r>
      <w:proofErr w:type="gramEnd"/>
      <w:r w:rsidR="0097709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com pretexto de venda de máscaras</w:t>
      </w:r>
      <w:r w:rsidR="007268B1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outros produtos médicos</w:t>
      </w:r>
      <w:r w:rsidR="008D283F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sendo também </w:t>
      </w:r>
      <w:r w:rsidR="00E92286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um dos motivos d</w:t>
      </w:r>
      <w:r w:rsidR="008D283F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principal causa da subida dos casos de “burla na </w:t>
      </w:r>
      <w:r w:rsidR="008D283F" w:rsidRPr="001A58C8">
        <w:rPr>
          <w:rFonts w:ascii="Times New Roman" w:eastAsia="標楷體" w:hAnsi="Times New Roman" w:cs="Times New Roman"/>
          <w:bCs/>
          <w:i/>
          <w:kern w:val="0"/>
          <w:sz w:val="28"/>
          <w:szCs w:val="28"/>
          <w:lang w:val="pt-PT"/>
        </w:rPr>
        <w:t>internet</w:t>
      </w:r>
      <w:r w:rsidR="008D283F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”</w:t>
      </w:r>
      <w:r w:rsidR="00E92286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 Para este fim, a Polícia</w:t>
      </w:r>
      <w:r w:rsidR="00D054DF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reforçou o combate a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</w:t>
      </w:r>
      <w:r w:rsidR="00D054DF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respectivo crime. Até 1 de Julho do corrente ano, a PJ instaurou, no total, 32 casos de burla de compra de máscaras por via de </w:t>
      </w:r>
      <w:r w:rsidR="00D054DF" w:rsidRPr="001A58C8">
        <w:rPr>
          <w:rFonts w:ascii="Times New Roman" w:eastAsia="標楷體" w:hAnsi="Times New Roman" w:cs="Times New Roman"/>
          <w:bCs/>
          <w:i/>
          <w:kern w:val="0"/>
          <w:sz w:val="28"/>
          <w:szCs w:val="28"/>
          <w:lang w:val="pt-PT"/>
        </w:rPr>
        <w:t>internet</w:t>
      </w:r>
      <w:r w:rsidR="00D054DF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CB769E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10</w:t>
      </w:r>
      <w:r w:rsidR="00D054DF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dos quais foram resolvidos e os restantes encontram-se ainda em investigação profunda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 Além de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0D6A83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pessoalmente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as empresas comerciais</w:t>
      </w:r>
      <w:r w:rsidR="000D6A83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também 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pode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rem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0D6A83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tornar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-se</w:t>
      </w:r>
      <w:r w:rsidR="000D6A83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alvos 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0D6A83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burla,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0D6A83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por 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exemplo, </w:t>
      </w:r>
      <w:r w:rsidR="000D6A83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em 20 de Julho deste ano, </w:t>
      </w:r>
      <w:r w:rsidR="007624C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Polícia resolveu 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 caso de </w:t>
      </w:r>
      <w:r w:rsidR="007624C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burla 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</w:t>
      </w:r>
      <w:r w:rsidR="007624C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encomenda de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máscara</w:t>
      </w:r>
      <w:r w:rsidR="007624C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no qual um indivíduo</w:t>
      </w:r>
      <w:r w:rsidR="00E2109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95AFE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Macau, identifica como intermediário, fingia que 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ajuda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95AFE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empresa farmacêutica de Hong Kong para encomendar grande volume de máscaras a um fabricante de Vietnam,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e, </w:t>
      </w:r>
      <w:r w:rsidR="00995AFE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 mesmo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995AFE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após de receber o 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depósito</w:t>
      </w:r>
      <w:r w:rsidR="00C66DFD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apropriou-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se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 valor envolvido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no montante de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E7441C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HKD</w:t>
      </w:r>
      <w:r w:rsidR="00A6516A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230.000.</w:t>
      </w:r>
      <w:r w:rsidR="000E4F9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prevenir a ocorrência 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0E4F9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crime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0E4F9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des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te</w:t>
      </w:r>
      <w:r w:rsidR="004A7307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0E4F9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género, a Polícia divulgou 18 textos de “informações policiais”, apelando aos cidadãos e empresários para não comprarem máscaras </w:t>
      </w:r>
      <w:r w:rsidR="000E4F9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 xml:space="preserve">de fontes não identificadas; bem como manter-se sempre em alerta e guardar o recibo de compra quando fizer compras através de </w:t>
      </w:r>
      <w:proofErr w:type="gramStart"/>
      <w:r w:rsidR="009A6513" w:rsidRPr="001A58C8">
        <w:rPr>
          <w:rFonts w:ascii="Times New Roman" w:eastAsia="標楷體" w:hAnsi="Times New Roman" w:cs="Times New Roman"/>
          <w:bCs/>
          <w:i/>
          <w:kern w:val="0"/>
          <w:sz w:val="28"/>
          <w:szCs w:val="28"/>
          <w:lang w:val="pt-PT"/>
        </w:rPr>
        <w:t>software</w:t>
      </w:r>
      <w:proofErr w:type="gramEnd"/>
      <w:r w:rsidR="009A6513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de </w:t>
      </w:r>
      <w:r w:rsidR="000E4F99"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redes sociais e plataformas de rede.</w:t>
      </w:r>
    </w:p>
    <w:p w:rsidR="001A58C8" w:rsidRPr="001A58C8" w:rsidRDefault="001A58C8" w:rsidP="001A58C8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Foram registados, na primeira metade deste ano</w:t>
      </w:r>
      <w:r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64</w:t>
      </w:r>
      <w:r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 de “uso de documento de identificação alheio”, representando um aumento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93</w:t>
      </w:r>
      <w:r w:rsidRPr="001A58C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,9% relativamente ao período homólogo do ano passado.</w:t>
      </w:r>
      <w:r w:rsidR="001678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1678CA" w:rsidRPr="001678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Entre estes, destacam, os casos relacionados com o uso de documento de identificação alheio para compra de materiais médicos como máscaras, que registaram </w:t>
      </w:r>
      <w:r w:rsidR="001678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50</w:t>
      </w:r>
      <w:r w:rsidR="001678CA" w:rsidRPr="001678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casos, ocupando </w:t>
      </w:r>
      <w:r w:rsidR="003F7E7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78,1</w:t>
      </w:r>
      <w:r w:rsidR="001678CA" w:rsidRPr="001678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% dos casos totais.</w:t>
      </w:r>
      <w:r w:rsidR="00657F4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satisfazer a procura de máscaras descartáveis, bem como reprimir casos de burla de compra de máscaras na </w:t>
      </w:r>
      <w:r w:rsidR="00657F4B" w:rsidRPr="00E21097">
        <w:rPr>
          <w:rFonts w:ascii="Times New Roman" w:eastAsia="標楷體" w:hAnsi="Times New Roman" w:cs="Times New Roman"/>
          <w:bCs/>
          <w:i/>
          <w:kern w:val="0"/>
          <w:sz w:val="28"/>
          <w:szCs w:val="28"/>
          <w:lang w:val="pt-PT"/>
        </w:rPr>
        <w:t>internet</w:t>
      </w:r>
      <w:r w:rsidR="00657F4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433407" w:rsidRP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 Governo da RAEM lançou </w:t>
      </w:r>
      <w:r w:rsid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final de Janeiro </w:t>
      </w:r>
      <w:r w:rsidR="00433407" w:rsidRP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 plano de fornecimento </w:t>
      </w:r>
      <w:r w:rsid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periódico </w:t>
      </w:r>
      <w:r w:rsidR="00433407" w:rsidRP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máscaras </w:t>
      </w:r>
      <w:r w:rsid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aos residentes de Macau e </w:t>
      </w:r>
      <w:r w:rsidR="00433407" w:rsidRP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aos trabalhador</w:t>
      </w:r>
      <w:r w:rsid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es</w:t>
      </w:r>
      <w:r w:rsidR="00433407" w:rsidRP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</w:t>
      </w:r>
      <w:r w:rsidR="00433407" w:rsidRP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ão</w:t>
      </w:r>
      <w:r w:rsid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433407" w:rsidRP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residente</w:t>
      </w:r>
      <w:r w:rsid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433407" w:rsidRPr="004334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(Cartão Azul).</w:t>
      </w:r>
      <w:r w:rsid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5B444E" w:rsidRP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entanto, </w:t>
      </w:r>
      <w:r w:rsid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há </w:t>
      </w:r>
      <w:r w:rsidR="005B444E" w:rsidRP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malfeitores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que </w:t>
      </w:r>
      <w:r w:rsid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usam </w:t>
      </w:r>
      <w:r w:rsidR="005B444E" w:rsidRP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documentos de identificação alheios</w:t>
      </w:r>
      <w:r w:rsid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açambarcar</w:t>
      </w:r>
      <w:r w:rsidR="005B444E" w:rsidRP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materiais médicos como as máscaras e </w:t>
      </w:r>
      <w:r w:rsid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depois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vendem-no a</w:t>
      </w:r>
      <w:r w:rsid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5B444E" w:rsidRPr="005B444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preço alto.</w:t>
      </w:r>
      <w:r w:rsidR="00F770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proteger os interesses do público, a Polícia efectuou rapidamente </w:t>
      </w:r>
      <w:r w:rsidR="00E03EB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acções</w:t>
      </w:r>
      <w:r w:rsidR="00F770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rigorosas </w:t>
      </w:r>
      <w:r w:rsidR="0039323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</w:t>
      </w:r>
      <w:r w:rsidR="00F770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combate a actos ilegais e criminais acima referidos.</w:t>
      </w:r>
      <w:r w:rsidR="00F315A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Os dados mostram que no primeiro trimestre deste ano registaram-se 37 casos deste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tipo</w:t>
      </w:r>
      <w:r w:rsidR="000809B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no </w:t>
      </w:r>
      <w:r w:rsidR="00F315A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segundo trimestre </w:t>
      </w:r>
      <w:r w:rsidR="000809B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regist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ou</w:t>
      </w:r>
      <w:r w:rsidR="00F315A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-se uma descida </w:t>
      </w:r>
      <w:r w:rsidR="0043151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até </w:t>
      </w:r>
      <w:r w:rsidR="00F315A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13 casos, reflectindo que as </w:t>
      </w:r>
      <w:r w:rsidR="0039323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acções </w:t>
      </w:r>
      <w:r w:rsidR="00F315A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específicas efectuadas pela Polícia produziram efeitos. </w:t>
      </w:r>
      <w:r w:rsidR="003A5915" w:rsidRPr="0043151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No futuro, a Polícia continuará a reforçar o combate a essa criminalidade e apela também ao público para proteger bem os seus documentos de identificação e informações privadas para que os mesmos não sejam utilizados pelos malfeitores.</w:t>
      </w:r>
    </w:p>
    <w:p w:rsidR="0046434A" w:rsidRPr="0046434A" w:rsidRDefault="0046434A" w:rsidP="00E379B3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46434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“</w:t>
      </w:r>
      <w:r w:rsidRPr="0046434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mecanismo de prevenção e combate à migração clandestina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” foi criado em Outubro de 2015, este mecanismo continua a obter efeitos significativos. Os SPU coordenam os SA, CPSP, PJ e outros serviços relevantes a realizarem regularmente reuniões para elaborar estratégicas específicas para o respectivo combate, estas estão abrangidas a intercepções e investigações conjuntas</w:t>
      </w:r>
      <w:r w:rsidR="00A05AD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nomeadamente,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A05AD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mar</w:t>
      </w:r>
      <w:r w:rsidR="00D15E6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ítima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D908E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zona </w:t>
      </w:r>
      <w:r w:rsidR="00D15E6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costeira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</w:t>
      </w:r>
      <w:r w:rsidR="00A05AD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</w:t>
      </w:r>
      <w:r w:rsidR="00D15E6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errestre</w:t>
      </w:r>
      <w:r w:rsidR="00A05AD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1434ED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Na primeira metade deste ano, a Polícia e os SA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detectaram</w:t>
      </w:r>
      <w:r w:rsidR="001434ED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no total 24 casos de </w:t>
      </w:r>
      <w:r w:rsidR="00A1752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prestação de </w:t>
      </w:r>
      <w:r w:rsidR="00227E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auxílio</w:t>
      </w:r>
      <w:r w:rsidR="00A17520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</w:t>
      </w:r>
      <w:r w:rsidR="001434ED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migração ilegal, </w:t>
      </w:r>
      <w:r w:rsidR="001434ED"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representando uma descida de </w:t>
      </w:r>
      <w:r w:rsidR="001434ED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33,3</w:t>
      </w:r>
      <w:r w:rsidR="001434ED"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% e de </w:t>
      </w:r>
      <w:r w:rsidR="001434ED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12</w:t>
      </w:r>
      <w:r w:rsidR="001434ED"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casos, comparando com o </w:t>
      </w:r>
      <w:r w:rsidR="001434ED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período homólogo do ano passado</w:t>
      </w:r>
      <w:r w:rsidR="00F07BF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; foram detidos 29 cabecilhas, </w:t>
      </w:r>
      <w:r w:rsidR="004A73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menos 28, representando </w:t>
      </w:r>
      <w:r w:rsidR="00F07BF3"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uma descida de </w:t>
      </w:r>
      <w:r w:rsidR="00F07BF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>49,1</w:t>
      </w:r>
      <w:r w:rsidR="00F07BF3"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%, comparando com o </w:t>
      </w:r>
      <w:r w:rsidR="00F07BF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período homólogo do ano passado</w:t>
      </w:r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</w:t>
      </w:r>
      <w:r w:rsidR="0032507D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Nesta matéria</w:t>
      </w:r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32507D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</w:t>
      </w:r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Polícia de Macau coopera com a Polícia do interior da China. Na primeira metade deste ano foram entregues 4 vezes à Polícia de </w:t>
      </w:r>
      <w:proofErr w:type="spellStart"/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Zhuhai</w:t>
      </w:r>
      <w:proofErr w:type="spellEnd"/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informações de investigações e troca de informações,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tendo,</w:t>
      </w:r>
      <w:r w:rsidR="00785C2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ambas as partes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desmantelado por acção</w:t>
      </w:r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conjunta </w:t>
      </w:r>
      <w:r w:rsidR="003D447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vários casos de migraç</w:t>
      </w:r>
      <w:r w:rsidR="00227E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ão ilegal, tais como: </w:t>
      </w:r>
      <w:r w:rsid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dia 24 de Abril do corrente ano,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</w:t>
      </w:r>
      <w:r w:rsidR="00943862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om </w:t>
      </w:r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base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em </w:t>
      </w:r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informações e pistas anteriores, a</w:t>
      </w:r>
      <w:r w:rsidR="00F31F8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F31F89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Polícia</w:t>
      </w:r>
      <w:r w:rsidR="00F31F8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F31F89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F31F8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Macau </w:t>
      </w:r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 </w:t>
      </w:r>
      <w:proofErr w:type="spellStart"/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Zhuhai</w:t>
      </w:r>
      <w:proofErr w:type="spellEnd"/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F31F8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desmantelaram</w:t>
      </w:r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em conjunto um </w:t>
      </w:r>
      <w:r w:rsidR="001F33EC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grupo </w:t>
      </w:r>
      <w:r w:rsidR="00F31F8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que presta auxílio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à </w:t>
      </w:r>
      <w:r w:rsidR="00F31F8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migração ilegal,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tendo sido</w:t>
      </w:r>
      <w:r w:rsidR="0031447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F31F8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detidos</w:t>
      </w:r>
      <w:r w:rsidR="005748D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no</w:t>
      </w:r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total</w:t>
      </w:r>
      <w:r w:rsidR="005748D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E379B3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de 8 </w:t>
      </w:r>
      <w:r w:rsidR="00F31F8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pessoas, incluindo o chefe e os membros principais d</w:t>
      </w:r>
      <w:r w:rsidR="005748D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</w:t>
      </w:r>
      <w:r w:rsidR="003B11E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grupo; 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em 9 de Junho, mais uma vez através do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mesmo </w:t>
      </w:r>
      <w:r w:rsidR="0031447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mecanismo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cooperação 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conseguiram desmantelar</w:t>
      </w:r>
      <w:r w:rsidR="00FC454F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em conjunto um 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grupo que presta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va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auxílio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à 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migração ilegal,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qual 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foram</w:t>
      </w:r>
      <w:r w:rsidR="00FC454F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detidos,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um</w:t>
      </w:r>
      <w:r w:rsidR="00943862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FC454F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total de 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5</w:t>
      </w:r>
      <w:r w:rsidR="00FC454F" w:rsidRPr="00E379B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3E4ED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membros deste grupo</w:t>
      </w:r>
      <w:r w:rsidR="00FC454F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incluindo o chefe do grupo</w:t>
      </w:r>
      <w:r w:rsidR="003E4ED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</w:p>
    <w:p w:rsidR="00D908E8" w:rsidRPr="00664617" w:rsidRDefault="00D908E8" w:rsidP="00B97DA4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66461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Para melhor prevenir e combater actividades de migração ilegal e contrabando por via marítima, bem como salvaguardar a segurança marítima e nas zonas costeiras</w:t>
      </w:r>
      <w:r w:rsidR="0066461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os SA introduziram o </w:t>
      </w:r>
      <w:r w:rsidR="00664617" w:rsidRPr="0066461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sistema de monitorização marítima inteligente</w:t>
      </w:r>
      <w:r w:rsidR="004E35B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usando </w:t>
      </w:r>
      <w:r w:rsidR="0039284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tecnologia </w:t>
      </w:r>
      <w:r w:rsidR="004E35B6" w:rsidRPr="004E35B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 imagem térmica infravermelha de longa distância para efectuar controlos em todas condições climáticas</w:t>
      </w:r>
      <w:r w:rsidR="00C04A5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cobrindo toda a área marítima de Macau.</w:t>
      </w:r>
      <w:r w:rsidR="0028762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Este sistema foi entregue e entrou oficialmente em funcionamento em Junho do corrente ano. Através da tecnologia de inteligência artificial pode proceder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</w:t>
      </w:r>
      <w:r w:rsidR="0028762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 controlo visualizado nas zonas costeiras e marítimas. </w:t>
      </w:r>
      <w:r w:rsidR="00287626" w:rsidRPr="0028762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Quando um alvo suspeito entra</w:t>
      </w:r>
      <w:r w:rsidR="0066134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</w:t>
      </w:r>
      <w:r w:rsidR="00287626" w:rsidRPr="0028762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na área de alerta, o sistema emite imediatamente um aviso antecipado e executa automaticamen</w:t>
      </w:r>
      <w:r w:rsidR="0066134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te o rastreamento de bloqueio do</w:t>
      </w:r>
      <w:r w:rsidR="00287626" w:rsidRPr="0028762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alvo</w:t>
      </w:r>
      <w:r w:rsidR="00B97DA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Este sistema </w:t>
      </w:r>
      <w:r w:rsidR="00B97DA4" w:rsidRPr="00B97DA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fortalece efe</w:t>
      </w:r>
      <w:r w:rsidR="00B97DA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</w:t>
      </w:r>
      <w:r w:rsidR="00B97DA4" w:rsidRPr="00B97DA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tivamente as capacidades alfandegárias de </w:t>
      </w:r>
      <w:r w:rsidR="00B97DA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aviso antecipado</w:t>
      </w:r>
      <w:r w:rsidR="00B97DA4" w:rsidRPr="00B97DA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rastreamento </w:t>
      </w:r>
      <w:r w:rsidR="005B543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dos SA nos casos de</w:t>
      </w:r>
      <w:r w:rsidR="00B97DA4" w:rsidRPr="00B97DA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anormalidades de segurança marítima e </w:t>
      </w:r>
      <w:r w:rsidR="00B97DA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zonas costeiras.</w:t>
      </w:r>
    </w:p>
    <w:p w:rsidR="003C00B7" w:rsidRDefault="003C00B7" w:rsidP="009424D6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3C00B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Houve uma tendência de descida dos casos de tráfico de droga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s. Foram registados na primeira metade deste ano 34 deste tipo de casos, </w:t>
      </w:r>
      <w:r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representando uma descida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42,4</w:t>
      </w:r>
      <w:r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% e de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25</w:t>
      </w:r>
      <w:r w:rsidRPr="0020472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casos, comparando com o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período homólogo do ano </w:t>
      </w:r>
      <w:r w:rsidR="003B0B8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transacto</w:t>
      </w:r>
      <w:r w:rsidR="00BE11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</w:t>
      </w:r>
      <w:r w:rsidR="00BE112A" w:rsidRPr="00BE11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Com o desenvolvimento global da epidemia, o tráfego diário entre Macau e as cidades vizinhas foi restringido desde Março e alguns </w:t>
      </w:r>
      <w:r w:rsidR="007A7D1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grupos </w:t>
      </w:r>
      <w:r w:rsidR="00BE112A" w:rsidRPr="00BE11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7A7D1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tráfico de </w:t>
      </w:r>
      <w:r w:rsidR="00BE112A" w:rsidRPr="00BE11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drogas transfronteiriços passaram a traficar </w:t>
      </w:r>
      <w:r w:rsidR="007A7D1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as </w:t>
      </w:r>
      <w:r w:rsidR="00BE112A" w:rsidRPr="00BE11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drogas por vias </w:t>
      </w:r>
      <w:r w:rsid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marítimas</w:t>
      </w:r>
      <w:r w:rsidR="00BE112A" w:rsidRPr="00BE11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C4607B" w:rsidRPr="00C4607B">
        <w:rPr>
          <w:lang w:val="pt-PT"/>
        </w:rPr>
        <w:t xml:space="preserve"> </w:t>
      </w:r>
      <w:r w:rsidR="00C4607B" w:rsidRP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Polícia </w:t>
      </w:r>
      <w:r w:rsid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 os SA </w:t>
      </w:r>
      <w:r w:rsidR="00C4607B" w:rsidRP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atribuem grande importância a </w:t>
      </w:r>
      <w:r w:rsidR="00C4607B" w:rsidRP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>esta situação</w:t>
      </w:r>
      <w:r w:rsid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ao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implementarem</w:t>
      </w:r>
      <w:r w:rsid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investigações específicas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</w:t>
      </w:r>
      <w:r w:rsid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mantendo </w:t>
      </w:r>
      <w:r w:rsidR="00C4607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também uma estreita cooperação e intercâmbios de informações com os serviços relevantes do interior da China.</w:t>
      </w:r>
      <w:r w:rsid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Em 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11 de Abril deste ano, a Polícia e </w:t>
      </w:r>
      <w:r w:rsid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os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SA 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resolveram conjuntamente um caso </w:t>
      </w:r>
      <w:r w:rsidR="00773BA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tráfico de drogas com o uso 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773BA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barcos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</w:t>
      </w:r>
      <w:r w:rsidR="00773BA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traficar 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drogas</w:t>
      </w:r>
      <w:r w:rsidR="0031447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tendo sido</w:t>
      </w:r>
      <w:r w:rsidR="00773BA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detidos 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3 membros </w:t>
      </w:r>
      <w:r w:rsidR="00940F0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do </w:t>
      </w:r>
      <w:r w:rsidR="00773BA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grupo </w:t>
      </w:r>
      <w:r w:rsidR="00940F0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 tráfico de drogas</w:t>
      </w:r>
      <w:r w:rsidR="00C8136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5CC5" w:rsidRPr="00945CC5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 2 compradores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; de seguida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a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Polícia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Macau e 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do interior da 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China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através do intercâmbio de informações, obtiveram 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mais pistas sobre 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este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grupo de tráfico de drogas 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transfronteiriço e 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dia 26 de Maio, 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lanç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aram 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uma operação conjunta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desmantelaram 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com sucesso 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este grupo,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 detiveram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outros 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14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dos seus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membros, incluindo o chefe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tendo sido</w:t>
      </w:r>
      <w:r w:rsidR="0076381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apreendidas cocaína,</w:t>
      </w:r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proofErr w:type="spellStart"/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metanfetamina</w:t>
      </w:r>
      <w:proofErr w:type="spellEnd"/>
      <w:r w:rsidR="009424D6" w:rsidRPr="009424D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outras drogas no valor de cerca de 2,1 milhões de patacas.</w:t>
      </w:r>
    </w:p>
    <w:p w:rsidR="00D75EA9" w:rsidRPr="0045067A" w:rsidRDefault="00D75EA9" w:rsidP="0045067A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D75EA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Para proteger a segurança da sociedade e combater dife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rentes tipos de actos criminai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s,</w:t>
      </w:r>
      <w:r w:rsidRPr="00D75EA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na 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primeira metade deste ano, os SPU coordenaram e comandaram os CPSP e PJ para a realização de uma série de operações de rusgas, nomeadamente </w:t>
      </w:r>
      <w:r w:rsidRPr="00D852F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“Operação Preventiva do Inverno 2020”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D852F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 “</w:t>
      </w:r>
      <w:r w:rsidR="00D852F4" w:rsidRPr="00D852F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Operação Trovoada</w:t>
      </w:r>
      <w:r w:rsidR="00D852F4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2020”</w:t>
      </w:r>
      <w:r w:rsidR="0045067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Até 30 de Junho, a Polícia efectuou no total 931 operações de rusgas,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mobilizaram </w:t>
      </w:r>
      <w:r w:rsidR="0045067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10.487 forças policiais</w:t>
      </w:r>
      <w:r w:rsidR="00E32E3C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efectuaram 28.181 investigações a indivíduos, entre </w:t>
      </w:r>
      <w:r w:rsidR="0061560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</w:t>
      </w:r>
      <w:r w:rsidR="00E32E3C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 quais</w:t>
      </w:r>
      <w:r w:rsidR="0061560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555 pessoas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</w:t>
      </w:r>
      <w:r w:rsidR="0061560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envolvidas em 461 casos criminais</w:t>
      </w:r>
      <w:r w:rsidR="0076381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</w:t>
      </w:r>
      <w:r w:rsidR="0061560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foram entregues aos órgãos judiciais</w:t>
      </w:r>
      <w:r w:rsidR="00DB3FB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para o devido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procedimento.</w:t>
      </w:r>
    </w:p>
    <w:p w:rsidR="00DB41AA" w:rsidRPr="00DB41AA" w:rsidRDefault="00DB41AA" w:rsidP="00DB41AA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DB41A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 “Sistema de Videovigilância em Espaços Públicos de Macau”, vulgarmente conhecido por “Olhos no céu”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auxilia a Polícia na resolução rápida de um volume de casos. Segundo os dados estatísticos, no 1.º trimestre deste ano,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este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sistem</w:t>
      </w:r>
      <w:r w:rsidR="00C72E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foi usado </w:t>
      </w:r>
      <w:r w:rsidR="00C72E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na investigação de 1.005 casos, </w:t>
      </w:r>
      <w:r w:rsidR="00C72EFA" w:rsidRPr="00C72E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os quais incluíram a criminalidade violenta como os crimes de “ofensas graves à integridade física”, “rapto”</w:t>
      </w:r>
      <w:r w:rsidR="007F54D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C72EFA" w:rsidRPr="00C72EF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 “fogo posto”.</w:t>
      </w:r>
      <w:r w:rsid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Actualmente, a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 primeiras três fases do sistema “</w:t>
      </w:r>
      <w:r w:rsidR="00541A4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Olhos 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no céu” </w:t>
      </w:r>
      <w:r w:rsidR="00943862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entr</w:t>
      </w:r>
      <w:r w:rsidR="00415E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aram</w:t>
      </w:r>
      <w:r w:rsidR="00943862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em funcionamento e quanto </w:t>
      </w:r>
      <w:r w:rsidR="00B546F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à 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4.</w:t>
      </w:r>
      <w:r w:rsidR="00C86106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ª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fase, que anteriormente previsto </w:t>
      </w:r>
      <w:r w:rsidR="00923DDB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 conclusão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no 1.º</w:t>
      </w:r>
      <w:r w:rsidR="004E79A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trimestre deste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ano,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mas que demorou por efeito da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epidemia</w:t>
      </w:r>
      <w:r w:rsidR="00382F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foi concluída no dia 27 de Abril e entrou em funcionamento no dia 6 de Agosto</w:t>
      </w:r>
      <w:r w:rsidR="00B936E1" w:rsidRPr="00B936E1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</w:p>
    <w:p w:rsidR="006E3BCA" w:rsidRPr="006E3BCA" w:rsidRDefault="006E3BCA" w:rsidP="008A3A2A">
      <w:pPr>
        <w:pStyle w:val="a7"/>
        <w:widowControl/>
        <w:numPr>
          <w:ilvl w:val="0"/>
          <w:numId w:val="1"/>
        </w:numPr>
        <w:spacing w:beforeLines="50" w:before="180"/>
        <w:ind w:leftChars="0" w:left="567" w:hanging="567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6E3B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Conforme os dados criminalísticos regi</w:t>
      </w:r>
      <w:r w:rsid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stados na</w:t>
      </w:r>
      <w:r w:rsidRPr="006E3B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primeira metade </w:t>
      </w:r>
      <w:r w:rsidRPr="006E3BC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do ano 2020, a segurança de Macau mantém-se favorável e estável</w:t>
      </w:r>
      <w:r w:rsid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tendo em conta as consequências negativas provocadas à vida e à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lastRenderedPageBreak/>
        <w:t>economia de Macau pela pneumonia do novo tipo de coronavírus</w:t>
      </w:r>
      <w:r w:rsid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.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No entanto, não se pode ignorar o</w:t>
      </w:r>
      <w:r w:rsidR="00E1731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impacto</w:t>
      </w:r>
      <w:r w:rsidR="00E1731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negativo</w:t>
      </w:r>
      <w:r w:rsidR="00E1731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E17313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causados pela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epidemia de </w:t>
      </w:r>
      <w:r w:rsidR="00E17313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pneumonia do novo tipo de coronavírus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sobre a economia e a subsistência das pessoas.</w:t>
      </w:r>
      <w:r w:rsidR="00E47F0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</w:t>
      </w:r>
      <w:r w:rsidR="00415E0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olícia </w:t>
      </w:r>
      <w:r w:rsidR="006A019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detectou novas mudanças no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6A019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modo da prática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da </w:t>
      </w:r>
      <w:r w:rsidR="006A019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burla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 do tráfico de drogas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e, de imediato,</w:t>
      </w:r>
      <w:r w:rsid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ajustou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implementação de</w:t>
      </w:r>
      <w:r w:rsidR="00223ECE" w:rsidRPr="00223EC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medidas de resposta.</w:t>
      </w:r>
      <w:r w:rsid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FF2D8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Tendo em conta </w:t>
      </w:r>
      <w:r w:rsidR="0094386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que </w:t>
      </w:r>
      <w:r w:rsidR="00FF2D8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</w:t>
      </w:r>
      <w:r w:rsidR="008A3A2A" w:rsidRP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situação </w:t>
      </w:r>
      <w:r w:rsidR="00185A5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epidé</w:t>
      </w:r>
      <w:r w:rsidR="008A3A2A" w:rsidRP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mi</w:t>
      </w:r>
      <w:r w:rsidR="00185A5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</w:t>
      </w:r>
      <w:r w:rsidR="008A3A2A" w:rsidRP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global ainda não </w:t>
      </w:r>
      <w:r w:rsidR="00185A5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está boa</w:t>
      </w:r>
      <w:r w:rsidR="008A3A2A" w:rsidRP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, o número de infectados nas </w:t>
      </w:r>
      <w:r w:rsidR="00185A5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regiões adjacentes voltou a aumentar</w:t>
      </w:r>
      <w:r w:rsidR="008A3A2A" w:rsidRP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acentuadamente e o trabalho de prevenção </w:t>
      </w:r>
      <w:r w:rsidR="00185A5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epidé</w:t>
      </w:r>
      <w:r w:rsidR="008A3A2A" w:rsidRP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mi</w:t>
      </w:r>
      <w:r w:rsidR="00185A5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c</w:t>
      </w:r>
      <w:r w:rsidR="008A3A2A" w:rsidRP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ainda é </w:t>
      </w:r>
      <w:r w:rsidR="00185A52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grave</w:t>
      </w:r>
      <w:r w:rsidR="008A3A2A" w:rsidRPr="008A3A2A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.</w:t>
      </w:r>
      <w:r w:rsidR="00FF2D8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Na segunda metade deste ano, as autoridades de segurança continuam a cooperar activamente com os serviços de saúde no âmbito das diversas tarefas de prevenção epidémica, </w:t>
      </w:r>
      <w:r w:rsidR="00213A4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mantendo, por</w:t>
      </w:r>
      <w:r w:rsidR="0076381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FF2D8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outro</w:t>
      </w:r>
      <w:r w:rsidR="00213A4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lado</w:t>
      </w:r>
      <w:r w:rsidR="00FF2D8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</w:t>
      </w:r>
      <w:r w:rsidR="00213A4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um </w:t>
      </w:r>
      <w:r w:rsidR="00FF2D88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alto nível de alerta às mudanças de diferentes factores de segurança</w:t>
      </w:r>
      <w:r w:rsidR="002E275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, bem como reforça</w:t>
      </w:r>
      <w:r w:rsidR="00213A4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m</w:t>
      </w:r>
      <w:r w:rsidR="002E275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 comunicação e cooperação com os serviços policiais das regiões adjacentes, </w:t>
      </w:r>
      <w:r w:rsidR="002E2759" w:rsidRPr="002E275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elevando </w:t>
      </w:r>
      <w:r w:rsidR="002E275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constantemente </w:t>
      </w:r>
      <w:r w:rsidR="002E2759" w:rsidRPr="002E275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capacidade de previsão e </w:t>
      </w:r>
      <w:r w:rsidR="006A6C2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de </w:t>
      </w:r>
      <w:r w:rsidR="002E2759" w:rsidRPr="002E275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respostas a possíveis situações de incidentes súbitos de segurança</w:t>
      </w:r>
      <w:r w:rsidR="006A6C2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e ajustando </w:t>
      </w:r>
      <w:r w:rsidR="00213A4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com oportunidade </w:t>
      </w:r>
      <w:r w:rsidR="006A6C2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a </w:t>
      </w:r>
      <w:r w:rsidR="00213A49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implementação de medidas </w:t>
      </w:r>
      <w:r w:rsidR="006A6C2E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policiais, com vista a garantir a esta</w:t>
      </w:r>
      <w:r w:rsidR="00277F4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bilidade e a harmonia de Macau.</w:t>
      </w:r>
    </w:p>
    <w:p w:rsidR="003735F0" w:rsidRDefault="003735F0" w:rsidP="00097F27">
      <w:pPr>
        <w:pStyle w:val="a7"/>
        <w:widowControl/>
        <w:spacing w:beforeLines="50" w:before="180"/>
        <w:ind w:leftChars="0" w:left="567"/>
        <w:jc w:val="right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</w:p>
    <w:p w:rsidR="003735F0" w:rsidRDefault="003735F0" w:rsidP="00097F27">
      <w:pPr>
        <w:pStyle w:val="a7"/>
        <w:widowControl/>
        <w:spacing w:beforeLines="50" w:before="180"/>
        <w:ind w:leftChars="0" w:left="567"/>
        <w:jc w:val="right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</w:p>
    <w:p w:rsidR="00097F27" w:rsidRPr="00097F27" w:rsidRDefault="00097F27" w:rsidP="00097F27">
      <w:pPr>
        <w:pStyle w:val="a7"/>
        <w:widowControl/>
        <w:spacing w:beforeLines="50" w:before="180"/>
        <w:ind w:leftChars="0" w:left="567"/>
        <w:jc w:val="right"/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</w:pPr>
      <w:r w:rsidRPr="00097F2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20 </w:t>
      </w:r>
      <w:proofErr w:type="gramStart"/>
      <w:r w:rsidRPr="00097F2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>de</w:t>
      </w:r>
      <w:proofErr w:type="gramEnd"/>
      <w:r w:rsidRPr="00097F27">
        <w:rPr>
          <w:rFonts w:ascii="Times New Roman" w:eastAsia="標楷體" w:hAnsi="Times New Roman" w:cs="Times New Roman"/>
          <w:bCs/>
          <w:kern w:val="0"/>
          <w:sz w:val="28"/>
          <w:szCs w:val="28"/>
          <w:lang w:val="pt-PT"/>
        </w:rPr>
        <w:t xml:space="preserve"> Agosto de 2020</w:t>
      </w:r>
    </w:p>
    <w:sectPr w:rsidR="00097F27" w:rsidRPr="00097F27" w:rsidSect="0010170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96" w:rsidRDefault="004A0B96" w:rsidP="00DC4089">
      <w:r>
        <w:separator/>
      </w:r>
    </w:p>
  </w:endnote>
  <w:endnote w:type="continuationSeparator" w:id="0">
    <w:p w:rsidR="004A0B96" w:rsidRDefault="004A0B96" w:rsidP="00DC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05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B41AA" w:rsidRPr="000245E8" w:rsidRDefault="00DB41AA">
        <w:pPr>
          <w:pStyle w:val="a5"/>
          <w:jc w:val="right"/>
          <w:rPr>
            <w:rFonts w:ascii="Times New Roman" w:hAnsi="Times New Roman" w:cs="Times New Roman"/>
          </w:rPr>
        </w:pPr>
        <w:r w:rsidRPr="000245E8">
          <w:rPr>
            <w:rFonts w:ascii="Times New Roman" w:hAnsi="Times New Roman" w:cs="Times New Roman"/>
          </w:rPr>
          <w:fldChar w:fldCharType="begin"/>
        </w:r>
        <w:r w:rsidRPr="000245E8">
          <w:rPr>
            <w:rFonts w:ascii="Times New Roman" w:hAnsi="Times New Roman" w:cs="Times New Roman"/>
          </w:rPr>
          <w:instrText>PAGE   \* MERGEFORMAT</w:instrText>
        </w:r>
        <w:r w:rsidRPr="000245E8">
          <w:rPr>
            <w:rFonts w:ascii="Times New Roman" w:hAnsi="Times New Roman" w:cs="Times New Roman"/>
          </w:rPr>
          <w:fldChar w:fldCharType="separate"/>
        </w:r>
        <w:r w:rsidR="007C3818" w:rsidRPr="007C3818">
          <w:rPr>
            <w:rFonts w:ascii="Times New Roman" w:hAnsi="Times New Roman" w:cs="Times New Roman"/>
            <w:noProof/>
            <w:lang w:val="zh-TW"/>
          </w:rPr>
          <w:t>3</w:t>
        </w:r>
        <w:r w:rsidRPr="000245E8">
          <w:rPr>
            <w:rFonts w:ascii="Times New Roman" w:hAnsi="Times New Roman" w:cs="Times New Roman"/>
          </w:rPr>
          <w:fldChar w:fldCharType="end"/>
        </w:r>
      </w:p>
    </w:sdtContent>
  </w:sdt>
  <w:p w:rsidR="00DB41AA" w:rsidRDefault="00DB41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96" w:rsidRDefault="004A0B96" w:rsidP="00DC4089">
      <w:r>
        <w:separator/>
      </w:r>
    </w:p>
  </w:footnote>
  <w:footnote w:type="continuationSeparator" w:id="0">
    <w:p w:rsidR="004A0B96" w:rsidRDefault="004A0B96" w:rsidP="00DC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75F8B"/>
    <w:multiLevelType w:val="multilevel"/>
    <w:tmpl w:val="3634B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8" w:hanging="1800"/>
      </w:pPr>
      <w:rPr>
        <w:rFonts w:hint="default"/>
      </w:rPr>
    </w:lvl>
  </w:abstractNum>
  <w:abstractNum w:abstractNumId="1">
    <w:nsid w:val="4ACF26F2"/>
    <w:multiLevelType w:val="hybridMultilevel"/>
    <w:tmpl w:val="9656E1E2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5963789C"/>
    <w:multiLevelType w:val="multilevel"/>
    <w:tmpl w:val="4D9CA7B6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7" w:hanging="1800"/>
      </w:pPr>
      <w:rPr>
        <w:rFonts w:hint="default"/>
      </w:rPr>
    </w:lvl>
  </w:abstractNum>
  <w:abstractNum w:abstractNumId="3">
    <w:nsid w:val="6D6D3955"/>
    <w:multiLevelType w:val="hybridMultilevel"/>
    <w:tmpl w:val="D458C488"/>
    <w:lvl w:ilvl="0" w:tplc="44E8EC24">
      <w:numFmt w:val="bullet"/>
      <w:lvlText w:val="●"/>
      <w:lvlJc w:val="left"/>
      <w:pPr>
        <w:ind w:left="84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71535A61"/>
    <w:multiLevelType w:val="hybridMultilevel"/>
    <w:tmpl w:val="08388E70"/>
    <w:lvl w:ilvl="0" w:tplc="F5427470">
      <w:start w:val="1"/>
      <w:numFmt w:val="bullet"/>
      <w:lvlText w:val=""/>
      <w:lvlJc w:val="left"/>
      <w:pPr>
        <w:ind w:left="837" w:hanging="48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5">
    <w:nsid w:val="7D5026C5"/>
    <w:multiLevelType w:val="hybridMultilevel"/>
    <w:tmpl w:val="70423670"/>
    <w:lvl w:ilvl="0" w:tplc="D6EE163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4E"/>
    <w:rsid w:val="0001174D"/>
    <w:rsid w:val="00011F3A"/>
    <w:rsid w:val="0002205C"/>
    <w:rsid w:val="00022E7A"/>
    <w:rsid w:val="000245E8"/>
    <w:rsid w:val="000257B3"/>
    <w:rsid w:val="0003160F"/>
    <w:rsid w:val="0003252D"/>
    <w:rsid w:val="000338A7"/>
    <w:rsid w:val="00033A5B"/>
    <w:rsid w:val="000366E6"/>
    <w:rsid w:val="0003678F"/>
    <w:rsid w:val="00036902"/>
    <w:rsid w:val="00045534"/>
    <w:rsid w:val="00045C25"/>
    <w:rsid w:val="00046397"/>
    <w:rsid w:val="00050C8A"/>
    <w:rsid w:val="0005347D"/>
    <w:rsid w:val="00053A27"/>
    <w:rsid w:val="00054739"/>
    <w:rsid w:val="00057F6C"/>
    <w:rsid w:val="0006021F"/>
    <w:rsid w:val="00065F45"/>
    <w:rsid w:val="0007063D"/>
    <w:rsid w:val="0007119F"/>
    <w:rsid w:val="00076FB9"/>
    <w:rsid w:val="00077110"/>
    <w:rsid w:val="000809BF"/>
    <w:rsid w:val="000818F7"/>
    <w:rsid w:val="00084450"/>
    <w:rsid w:val="000849EF"/>
    <w:rsid w:val="000855F2"/>
    <w:rsid w:val="00092B1E"/>
    <w:rsid w:val="00097F27"/>
    <w:rsid w:val="000A60D6"/>
    <w:rsid w:val="000A6EEC"/>
    <w:rsid w:val="000B0C01"/>
    <w:rsid w:val="000B6480"/>
    <w:rsid w:val="000C0AFE"/>
    <w:rsid w:val="000C2F7D"/>
    <w:rsid w:val="000C6A71"/>
    <w:rsid w:val="000C701F"/>
    <w:rsid w:val="000D0A98"/>
    <w:rsid w:val="000D35CD"/>
    <w:rsid w:val="000D6A83"/>
    <w:rsid w:val="000D76B2"/>
    <w:rsid w:val="000E0EB2"/>
    <w:rsid w:val="000E189C"/>
    <w:rsid w:val="000E1F87"/>
    <w:rsid w:val="000E3A3A"/>
    <w:rsid w:val="000E46C2"/>
    <w:rsid w:val="000E4F99"/>
    <w:rsid w:val="000F176F"/>
    <w:rsid w:val="000F42B9"/>
    <w:rsid w:val="00100877"/>
    <w:rsid w:val="00101706"/>
    <w:rsid w:val="0011798F"/>
    <w:rsid w:val="00120613"/>
    <w:rsid w:val="001211C9"/>
    <w:rsid w:val="00126332"/>
    <w:rsid w:val="00137C4A"/>
    <w:rsid w:val="00137DDE"/>
    <w:rsid w:val="00141F47"/>
    <w:rsid w:val="001434ED"/>
    <w:rsid w:val="00150129"/>
    <w:rsid w:val="001511CD"/>
    <w:rsid w:val="00151E27"/>
    <w:rsid w:val="0015297E"/>
    <w:rsid w:val="00156FD4"/>
    <w:rsid w:val="001608C2"/>
    <w:rsid w:val="001678CA"/>
    <w:rsid w:val="0017066F"/>
    <w:rsid w:val="00170EA8"/>
    <w:rsid w:val="001722DC"/>
    <w:rsid w:val="00177077"/>
    <w:rsid w:val="0018083D"/>
    <w:rsid w:val="00185A52"/>
    <w:rsid w:val="00190087"/>
    <w:rsid w:val="00191471"/>
    <w:rsid w:val="00191CB5"/>
    <w:rsid w:val="0019204A"/>
    <w:rsid w:val="00192991"/>
    <w:rsid w:val="00196DD2"/>
    <w:rsid w:val="001A156C"/>
    <w:rsid w:val="001A2CC9"/>
    <w:rsid w:val="001A2F00"/>
    <w:rsid w:val="001A58C8"/>
    <w:rsid w:val="001B456B"/>
    <w:rsid w:val="001B5200"/>
    <w:rsid w:val="001B7598"/>
    <w:rsid w:val="001C0851"/>
    <w:rsid w:val="001C15E0"/>
    <w:rsid w:val="001D30C3"/>
    <w:rsid w:val="001D500C"/>
    <w:rsid w:val="001E7D16"/>
    <w:rsid w:val="001F09C3"/>
    <w:rsid w:val="001F1968"/>
    <w:rsid w:val="001F33EC"/>
    <w:rsid w:val="001F7397"/>
    <w:rsid w:val="00200C43"/>
    <w:rsid w:val="00201180"/>
    <w:rsid w:val="00201FB3"/>
    <w:rsid w:val="002027BA"/>
    <w:rsid w:val="00204729"/>
    <w:rsid w:val="00205361"/>
    <w:rsid w:val="002078AF"/>
    <w:rsid w:val="00211A21"/>
    <w:rsid w:val="00213A49"/>
    <w:rsid w:val="00215526"/>
    <w:rsid w:val="00223ECE"/>
    <w:rsid w:val="00227EB3"/>
    <w:rsid w:val="002421F1"/>
    <w:rsid w:val="0024235B"/>
    <w:rsid w:val="00244F32"/>
    <w:rsid w:val="00245A1F"/>
    <w:rsid w:val="00250C28"/>
    <w:rsid w:val="00251903"/>
    <w:rsid w:val="00251B6F"/>
    <w:rsid w:val="00255184"/>
    <w:rsid w:val="00255731"/>
    <w:rsid w:val="00260220"/>
    <w:rsid w:val="00262071"/>
    <w:rsid w:val="00272ACB"/>
    <w:rsid w:val="00276B01"/>
    <w:rsid w:val="00277F47"/>
    <w:rsid w:val="00287626"/>
    <w:rsid w:val="00291E08"/>
    <w:rsid w:val="00292F18"/>
    <w:rsid w:val="00296514"/>
    <w:rsid w:val="002978BF"/>
    <w:rsid w:val="002A462E"/>
    <w:rsid w:val="002A7A8A"/>
    <w:rsid w:val="002B200D"/>
    <w:rsid w:val="002B4BF1"/>
    <w:rsid w:val="002C1330"/>
    <w:rsid w:val="002D46C6"/>
    <w:rsid w:val="002D7940"/>
    <w:rsid w:val="002E2759"/>
    <w:rsid w:val="002E3B4E"/>
    <w:rsid w:val="002F5CD1"/>
    <w:rsid w:val="003044AF"/>
    <w:rsid w:val="003048EE"/>
    <w:rsid w:val="003050CB"/>
    <w:rsid w:val="00305F94"/>
    <w:rsid w:val="003066DE"/>
    <w:rsid w:val="00312FEA"/>
    <w:rsid w:val="0031447E"/>
    <w:rsid w:val="00322471"/>
    <w:rsid w:val="0032507D"/>
    <w:rsid w:val="003252B0"/>
    <w:rsid w:val="00330529"/>
    <w:rsid w:val="0033262B"/>
    <w:rsid w:val="00335A29"/>
    <w:rsid w:val="00340A9A"/>
    <w:rsid w:val="00340ABB"/>
    <w:rsid w:val="00343AB3"/>
    <w:rsid w:val="00347F9B"/>
    <w:rsid w:val="003555FD"/>
    <w:rsid w:val="003557AD"/>
    <w:rsid w:val="00357D1A"/>
    <w:rsid w:val="00362DE1"/>
    <w:rsid w:val="003637B8"/>
    <w:rsid w:val="00364E2A"/>
    <w:rsid w:val="00366F7E"/>
    <w:rsid w:val="00370034"/>
    <w:rsid w:val="00370C6F"/>
    <w:rsid w:val="00371176"/>
    <w:rsid w:val="003735F0"/>
    <w:rsid w:val="003743F3"/>
    <w:rsid w:val="00375A36"/>
    <w:rsid w:val="00377D6A"/>
    <w:rsid w:val="00380961"/>
    <w:rsid w:val="00382FCA"/>
    <w:rsid w:val="00390127"/>
    <w:rsid w:val="00392361"/>
    <w:rsid w:val="00392846"/>
    <w:rsid w:val="00393236"/>
    <w:rsid w:val="00394713"/>
    <w:rsid w:val="00397383"/>
    <w:rsid w:val="003A5915"/>
    <w:rsid w:val="003A7039"/>
    <w:rsid w:val="003A73BD"/>
    <w:rsid w:val="003A78DB"/>
    <w:rsid w:val="003B0B86"/>
    <w:rsid w:val="003B11E5"/>
    <w:rsid w:val="003B12A6"/>
    <w:rsid w:val="003B486B"/>
    <w:rsid w:val="003B7489"/>
    <w:rsid w:val="003C00B7"/>
    <w:rsid w:val="003C1555"/>
    <w:rsid w:val="003C329B"/>
    <w:rsid w:val="003C53E2"/>
    <w:rsid w:val="003C6CFE"/>
    <w:rsid w:val="003C6E48"/>
    <w:rsid w:val="003C6E51"/>
    <w:rsid w:val="003C7408"/>
    <w:rsid w:val="003C74B9"/>
    <w:rsid w:val="003D03CD"/>
    <w:rsid w:val="003D0E80"/>
    <w:rsid w:val="003D1639"/>
    <w:rsid w:val="003D164F"/>
    <w:rsid w:val="003D215D"/>
    <w:rsid w:val="003D2C7C"/>
    <w:rsid w:val="003D315D"/>
    <w:rsid w:val="003D403D"/>
    <w:rsid w:val="003D4478"/>
    <w:rsid w:val="003D45B4"/>
    <w:rsid w:val="003E0720"/>
    <w:rsid w:val="003E2BE2"/>
    <w:rsid w:val="003E4ED3"/>
    <w:rsid w:val="003E681A"/>
    <w:rsid w:val="003E698A"/>
    <w:rsid w:val="003F4C76"/>
    <w:rsid w:val="003F7582"/>
    <w:rsid w:val="003F7E77"/>
    <w:rsid w:val="00400096"/>
    <w:rsid w:val="00404D39"/>
    <w:rsid w:val="0041078D"/>
    <w:rsid w:val="00410BDB"/>
    <w:rsid w:val="004119FA"/>
    <w:rsid w:val="00415E07"/>
    <w:rsid w:val="00424D55"/>
    <w:rsid w:val="00431512"/>
    <w:rsid w:val="00433407"/>
    <w:rsid w:val="0043348A"/>
    <w:rsid w:val="00440381"/>
    <w:rsid w:val="00440830"/>
    <w:rsid w:val="00443CBD"/>
    <w:rsid w:val="0045067A"/>
    <w:rsid w:val="00462C03"/>
    <w:rsid w:val="0046434A"/>
    <w:rsid w:val="00464C42"/>
    <w:rsid w:val="00467691"/>
    <w:rsid w:val="0047105E"/>
    <w:rsid w:val="004729D3"/>
    <w:rsid w:val="004766FA"/>
    <w:rsid w:val="00482E43"/>
    <w:rsid w:val="004839D2"/>
    <w:rsid w:val="00485E11"/>
    <w:rsid w:val="0048790D"/>
    <w:rsid w:val="00495431"/>
    <w:rsid w:val="00496CBD"/>
    <w:rsid w:val="004A0B96"/>
    <w:rsid w:val="004A1D39"/>
    <w:rsid w:val="004A30CE"/>
    <w:rsid w:val="004A5C23"/>
    <w:rsid w:val="004A7307"/>
    <w:rsid w:val="004B0EB6"/>
    <w:rsid w:val="004B15FE"/>
    <w:rsid w:val="004C39AB"/>
    <w:rsid w:val="004C660E"/>
    <w:rsid w:val="004D07C7"/>
    <w:rsid w:val="004D1724"/>
    <w:rsid w:val="004D60FC"/>
    <w:rsid w:val="004D701E"/>
    <w:rsid w:val="004E35B6"/>
    <w:rsid w:val="004E4D44"/>
    <w:rsid w:val="004E79AE"/>
    <w:rsid w:val="004F22DB"/>
    <w:rsid w:val="004F5843"/>
    <w:rsid w:val="004F7E9B"/>
    <w:rsid w:val="00501772"/>
    <w:rsid w:val="00510673"/>
    <w:rsid w:val="005110ED"/>
    <w:rsid w:val="00514F41"/>
    <w:rsid w:val="005160D0"/>
    <w:rsid w:val="00525BC7"/>
    <w:rsid w:val="00526795"/>
    <w:rsid w:val="00534DE7"/>
    <w:rsid w:val="00541A41"/>
    <w:rsid w:val="0054242C"/>
    <w:rsid w:val="00543326"/>
    <w:rsid w:val="00543356"/>
    <w:rsid w:val="005442F9"/>
    <w:rsid w:val="00546EC4"/>
    <w:rsid w:val="0055394A"/>
    <w:rsid w:val="00556BFF"/>
    <w:rsid w:val="0056064B"/>
    <w:rsid w:val="00561581"/>
    <w:rsid w:val="005616B2"/>
    <w:rsid w:val="0056441A"/>
    <w:rsid w:val="005663F2"/>
    <w:rsid w:val="005748D5"/>
    <w:rsid w:val="005749FA"/>
    <w:rsid w:val="005750C7"/>
    <w:rsid w:val="0057571C"/>
    <w:rsid w:val="00577DE3"/>
    <w:rsid w:val="00583BEA"/>
    <w:rsid w:val="0058476D"/>
    <w:rsid w:val="00593163"/>
    <w:rsid w:val="00597EA9"/>
    <w:rsid w:val="005A085A"/>
    <w:rsid w:val="005A7BE8"/>
    <w:rsid w:val="005B31F4"/>
    <w:rsid w:val="005B34AC"/>
    <w:rsid w:val="005B444E"/>
    <w:rsid w:val="005B5435"/>
    <w:rsid w:val="005B67D2"/>
    <w:rsid w:val="005B6AA1"/>
    <w:rsid w:val="005B6E6C"/>
    <w:rsid w:val="005C097E"/>
    <w:rsid w:val="005C1C29"/>
    <w:rsid w:val="005C2A8B"/>
    <w:rsid w:val="005C6F75"/>
    <w:rsid w:val="005D52B7"/>
    <w:rsid w:val="005E0558"/>
    <w:rsid w:val="005E1009"/>
    <w:rsid w:val="005E42EB"/>
    <w:rsid w:val="005E7997"/>
    <w:rsid w:val="005F2BA0"/>
    <w:rsid w:val="005F41C6"/>
    <w:rsid w:val="00603E09"/>
    <w:rsid w:val="00604E30"/>
    <w:rsid w:val="00613304"/>
    <w:rsid w:val="00615606"/>
    <w:rsid w:val="00615DB0"/>
    <w:rsid w:val="006164D0"/>
    <w:rsid w:val="0062604B"/>
    <w:rsid w:val="00626F24"/>
    <w:rsid w:val="00631DC2"/>
    <w:rsid w:val="00636101"/>
    <w:rsid w:val="006374A2"/>
    <w:rsid w:val="00642560"/>
    <w:rsid w:val="00642CC5"/>
    <w:rsid w:val="00657F4B"/>
    <w:rsid w:val="0066090B"/>
    <w:rsid w:val="00661343"/>
    <w:rsid w:val="00664617"/>
    <w:rsid w:val="00666990"/>
    <w:rsid w:val="00677DB7"/>
    <w:rsid w:val="00681704"/>
    <w:rsid w:val="00685D27"/>
    <w:rsid w:val="00693EAD"/>
    <w:rsid w:val="00696A16"/>
    <w:rsid w:val="0069737A"/>
    <w:rsid w:val="006A019E"/>
    <w:rsid w:val="006A1F7A"/>
    <w:rsid w:val="006A5437"/>
    <w:rsid w:val="006A6C2E"/>
    <w:rsid w:val="006B1E3D"/>
    <w:rsid w:val="006B52D4"/>
    <w:rsid w:val="006B56A9"/>
    <w:rsid w:val="006C1320"/>
    <w:rsid w:val="006C18E4"/>
    <w:rsid w:val="006C333B"/>
    <w:rsid w:val="006D17C3"/>
    <w:rsid w:val="006D3953"/>
    <w:rsid w:val="006D5172"/>
    <w:rsid w:val="006D5E11"/>
    <w:rsid w:val="006E3BCA"/>
    <w:rsid w:val="006E651E"/>
    <w:rsid w:val="006E7238"/>
    <w:rsid w:val="006F4D7C"/>
    <w:rsid w:val="006F6EE8"/>
    <w:rsid w:val="0071135A"/>
    <w:rsid w:val="007203FD"/>
    <w:rsid w:val="00721B11"/>
    <w:rsid w:val="00723A8E"/>
    <w:rsid w:val="0072501B"/>
    <w:rsid w:val="00725802"/>
    <w:rsid w:val="007268B1"/>
    <w:rsid w:val="00726CA8"/>
    <w:rsid w:val="00730033"/>
    <w:rsid w:val="007624C9"/>
    <w:rsid w:val="00763818"/>
    <w:rsid w:val="00763CF8"/>
    <w:rsid w:val="00771D67"/>
    <w:rsid w:val="007732DD"/>
    <w:rsid w:val="00773BAB"/>
    <w:rsid w:val="007744E1"/>
    <w:rsid w:val="007809A1"/>
    <w:rsid w:val="00783671"/>
    <w:rsid w:val="00785C28"/>
    <w:rsid w:val="007865DE"/>
    <w:rsid w:val="007912CD"/>
    <w:rsid w:val="00792224"/>
    <w:rsid w:val="0079269D"/>
    <w:rsid w:val="007955B6"/>
    <w:rsid w:val="007A196C"/>
    <w:rsid w:val="007A1E18"/>
    <w:rsid w:val="007A260D"/>
    <w:rsid w:val="007A7D15"/>
    <w:rsid w:val="007B5805"/>
    <w:rsid w:val="007B651C"/>
    <w:rsid w:val="007B7361"/>
    <w:rsid w:val="007C3818"/>
    <w:rsid w:val="007C78D9"/>
    <w:rsid w:val="007D17F7"/>
    <w:rsid w:val="007E2F94"/>
    <w:rsid w:val="007E3EF7"/>
    <w:rsid w:val="007F0949"/>
    <w:rsid w:val="007F16C7"/>
    <w:rsid w:val="007F54D1"/>
    <w:rsid w:val="007F5D29"/>
    <w:rsid w:val="007F7B9D"/>
    <w:rsid w:val="00801EDA"/>
    <w:rsid w:val="00803B9F"/>
    <w:rsid w:val="008124DB"/>
    <w:rsid w:val="00815B5A"/>
    <w:rsid w:val="00830E52"/>
    <w:rsid w:val="0083232C"/>
    <w:rsid w:val="0083250F"/>
    <w:rsid w:val="00836234"/>
    <w:rsid w:val="00842A84"/>
    <w:rsid w:val="00842D24"/>
    <w:rsid w:val="00845594"/>
    <w:rsid w:val="00846CB7"/>
    <w:rsid w:val="00851FA7"/>
    <w:rsid w:val="0086229F"/>
    <w:rsid w:val="00862B2C"/>
    <w:rsid w:val="00863BDF"/>
    <w:rsid w:val="00864261"/>
    <w:rsid w:val="00864562"/>
    <w:rsid w:val="00865E42"/>
    <w:rsid w:val="00870A07"/>
    <w:rsid w:val="00871A3F"/>
    <w:rsid w:val="00871BFC"/>
    <w:rsid w:val="0087696D"/>
    <w:rsid w:val="00880625"/>
    <w:rsid w:val="008815F9"/>
    <w:rsid w:val="008821EF"/>
    <w:rsid w:val="0088479A"/>
    <w:rsid w:val="00891A6B"/>
    <w:rsid w:val="0089212A"/>
    <w:rsid w:val="00894C75"/>
    <w:rsid w:val="008A0B68"/>
    <w:rsid w:val="008A3A2A"/>
    <w:rsid w:val="008A6EA7"/>
    <w:rsid w:val="008C0229"/>
    <w:rsid w:val="008D0553"/>
    <w:rsid w:val="008D283F"/>
    <w:rsid w:val="008D32BB"/>
    <w:rsid w:val="008D3D21"/>
    <w:rsid w:val="008D3ED6"/>
    <w:rsid w:val="008D41E8"/>
    <w:rsid w:val="008D4BD5"/>
    <w:rsid w:val="008E0311"/>
    <w:rsid w:val="008E5F94"/>
    <w:rsid w:val="008E7AF3"/>
    <w:rsid w:val="008F4CD9"/>
    <w:rsid w:val="008F7659"/>
    <w:rsid w:val="00903D4B"/>
    <w:rsid w:val="00904583"/>
    <w:rsid w:val="00906506"/>
    <w:rsid w:val="00912485"/>
    <w:rsid w:val="00923DDB"/>
    <w:rsid w:val="009339E6"/>
    <w:rsid w:val="00936C9E"/>
    <w:rsid w:val="009405F2"/>
    <w:rsid w:val="00940F0B"/>
    <w:rsid w:val="009424D6"/>
    <w:rsid w:val="00943862"/>
    <w:rsid w:val="009445DE"/>
    <w:rsid w:val="0094475F"/>
    <w:rsid w:val="00945CC5"/>
    <w:rsid w:val="0095359A"/>
    <w:rsid w:val="00954EE2"/>
    <w:rsid w:val="00955FC4"/>
    <w:rsid w:val="0096219E"/>
    <w:rsid w:val="0096283E"/>
    <w:rsid w:val="00967469"/>
    <w:rsid w:val="0097102A"/>
    <w:rsid w:val="00975EAE"/>
    <w:rsid w:val="00977097"/>
    <w:rsid w:val="00981418"/>
    <w:rsid w:val="009825CF"/>
    <w:rsid w:val="0099168B"/>
    <w:rsid w:val="00995AFE"/>
    <w:rsid w:val="00995BBA"/>
    <w:rsid w:val="009964A1"/>
    <w:rsid w:val="009A2712"/>
    <w:rsid w:val="009A6513"/>
    <w:rsid w:val="009B024F"/>
    <w:rsid w:val="009B07C7"/>
    <w:rsid w:val="009B153A"/>
    <w:rsid w:val="009B3118"/>
    <w:rsid w:val="009B613B"/>
    <w:rsid w:val="009B76DD"/>
    <w:rsid w:val="009C1725"/>
    <w:rsid w:val="009C354C"/>
    <w:rsid w:val="009C54F3"/>
    <w:rsid w:val="009C5CC9"/>
    <w:rsid w:val="009D1674"/>
    <w:rsid w:val="009E36B1"/>
    <w:rsid w:val="009E3DDC"/>
    <w:rsid w:val="009F1632"/>
    <w:rsid w:val="009F3F8B"/>
    <w:rsid w:val="009F5428"/>
    <w:rsid w:val="009F7681"/>
    <w:rsid w:val="00A00488"/>
    <w:rsid w:val="00A01F02"/>
    <w:rsid w:val="00A0275A"/>
    <w:rsid w:val="00A049DC"/>
    <w:rsid w:val="00A05ADE"/>
    <w:rsid w:val="00A063E1"/>
    <w:rsid w:val="00A12E46"/>
    <w:rsid w:val="00A17520"/>
    <w:rsid w:val="00A23964"/>
    <w:rsid w:val="00A256CF"/>
    <w:rsid w:val="00A26D1F"/>
    <w:rsid w:val="00A2721E"/>
    <w:rsid w:val="00A2757E"/>
    <w:rsid w:val="00A278E0"/>
    <w:rsid w:val="00A302E5"/>
    <w:rsid w:val="00A303D6"/>
    <w:rsid w:val="00A307D0"/>
    <w:rsid w:val="00A32939"/>
    <w:rsid w:val="00A358F0"/>
    <w:rsid w:val="00A37E54"/>
    <w:rsid w:val="00A40E64"/>
    <w:rsid w:val="00A47894"/>
    <w:rsid w:val="00A50D3B"/>
    <w:rsid w:val="00A541F2"/>
    <w:rsid w:val="00A54B0B"/>
    <w:rsid w:val="00A560AA"/>
    <w:rsid w:val="00A57AF1"/>
    <w:rsid w:val="00A6145A"/>
    <w:rsid w:val="00A6516A"/>
    <w:rsid w:val="00A65545"/>
    <w:rsid w:val="00A732F7"/>
    <w:rsid w:val="00A74182"/>
    <w:rsid w:val="00A74BB4"/>
    <w:rsid w:val="00A75B08"/>
    <w:rsid w:val="00A92D28"/>
    <w:rsid w:val="00A9330B"/>
    <w:rsid w:val="00A9520B"/>
    <w:rsid w:val="00A954D9"/>
    <w:rsid w:val="00A97858"/>
    <w:rsid w:val="00AA0E6E"/>
    <w:rsid w:val="00AA1358"/>
    <w:rsid w:val="00AA1EB7"/>
    <w:rsid w:val="00AB47D1"/>
    <w:rsid w:val="00AB51AA"/>
    <w:rsid w:val="00AB5285"/>
    <w:rsid w:val="00AB5897"/>
    <w:rsid w:val="00AB6BEF"/>
    <w:rsid w:val="00AC1C7B"/>
    <w:rsid w:val="00AC695E"/>
    <w:rsid w:val="00AD2A89"/>
    <w:rsid w:val="00AD3A38"/>
    <w:rsid w:val="00AD7A56"/>
    <w:rsid w:val="00AE2EF2"/>
    <w:rsid w:val="00AE53FC"/>
    <w:rsid w:val="00AE7329"/>
    <w:rsid w:val="00AF0436"/>
    <w:rsid w:val="00AF5252"/>
    <w:rsid w:val="00AF6294"/>
    <w:rsid w:val="00AF7DD9"/>
    <w:rsid w:val="00B0238E"/>
    <w:rsid w:val="00B03DE3"/>
    <w:rsid w:val="00B0466F"/>
    <w:rsid w:val="00B052EB"/>
    <w:rsid w:val="00B0745B"/>
    <w:rsid w:val="00B10385"/>
    <w:rsid w:val="00B1084A"/>
    <w:rsid w:val="00B1191F"/>
    <w:rsid w:val="00B14DD9"/>
    <w:rsid w:val="00B25188"/>
    <w:rsid w:val="00B31626"/>
    <w:rsid w:val="00B34A22"/>
    <w:rsid w:val="00B353A6"/>
    <w:rsid w:val="00B36600"/>
    <w:rsid w:val="00B40000"/>
    <w:rsid w:val="00B422FE"/>
    <w:rsid w:val="00B47BD6"/>
    <w:rsid w:val="00B53921"/>
    <w:rsid w:val="00B546F7"/>
    <w:rsid w:val="00B56F0A"/>
    <w:rsid w:val="00B60890"/>
    <w:rsid w:val="00B62348"/>
    <w:rsid w:val="00B62C61"/>
    <w:rsid w:val="00B63BFD"/>
    <w:rsid w:val="00B64647"/>
    <w:rsid w:val="00B65258"/>
    <w:rsid w:val="00B7779F"/>
    <w:rsid w:val="00B8163E"/>
    <w:rsid w:val="00B82257"/>
    <w:rsid w:val="00B82EF5"/>
    <w:rsid w:val="00B91413"/>
    <w:rsid w:val="00B936E1"/>
    <w:rsid w:val="00B96569"/>
    <w:rsid w:val="00B967B2"/>
    <w:rsid w:val="00B97DA4"/>
    <w:rsid w:val="00BA0404"/>
    <w:rsid w:val="00BA0751"/>
    <w:rsid w:val="00BA1CBC"/>
    <w:rsid w:val="00BA55E9"/>
    <w:rsid w:val="00BB0141"/>
    <w:rsid w:val="00BB115D"/>
    <w:rsid w:val="00BB7BEF"/>
    <w:rsid w:val="00BB7D13"/>
    <w:rsid w:val="00BC0940"/>
    <w:rsid w:val="00BC22FA"/>
    <w:rsid w:val="00BC4975"/>
    <w:rsid w:val="00BC57C8"/>
    <w:rsid w:val="00BC7438"/>
    <w:rsid w:val="00BD127F"/>
    <w:rsid w:val="00BD3015"/>
    <w:rsid w:val="00BD402E"/>
    <w:rsid w:val="00BE112A"/>
    <w:rsid w:val="00BE292B"/>
    <w:rsid w:val="00BE2CC2"/>
    <w:rsid w:val="00BE5F42"/>
    <w:rsid w:val="00BF56CD"/>
    <w:rsid w:val="00BF6165"/>
    <w:rsid w:val="00BF7737"/>
    <w:rsid w:val="00C036AD"/>
    <w:rsid w:val="00C04A52"/>
    <w:rsid w:val="00C0762E"/>
    <w:rsid w:val="00C13458"/>
    <w:rsid w:val="00C1399E"/>
    <w:rsid w:val="00C1443A"/>
    <w:rsid w:val="00C15B87"/>
    <w:rsid w:val="00C1753C"/>
    <w:rsid w:val="00C267F5"/>
    <w:rsid w:val="00C27E03"/>
    <w:rsid w:val="00C350C2"/>
    <w:rsid w:val="00C36960"/>
    <w:rsid w:val="00C40C6F"/>
    <w:rsid w:val="00C458EF"/>
    <w:rsid w:val="00C4607B"/>
    <w:rsid w:val="00C472EE"/>
    <w:rsid w:val="00C50C01"/>
    <w:rsid w:val="00C551F4"/>
    <w:rsid w:val="00C6043A"/>
    <w:rsid w:val="00C66DFD"/>
    <w:rsid w:val="00C711A1"/>
    <w:rsid w:val="00C72EFA"/>
    <w:rsid w:val="00C77DE5"/>
    <w:rsid w:val="00C8136A"/>
    <w:rsid w:val="00C85FFF"/>
    <w:rsid w:val="00C86106"/>
    <w:rsid w:val="00C91128"/>
    <w:rsid w:val="00C95391"/>
    <w:rsid w:val="00CA4CCC"/>
    <w:rsid w:val="00CA5DAA"/>
    <w:rsid w:val="00CB195C"/>
    <w:rsid w:val="00CB1BC5"/>
    <w:rsid w:val="00CB769E"/>
    <w:rsid w:val="00CB7E57"/>
    <w:rsid w:val="00CC175E"/>
    <w:rsid w:val="00CD168C"/>
    <w:rsid w:val="00CD31D8"/>
    <w:rsid w:val="00CD3FE6"/>
    <w:rsid w:val="00CD600B"/>
    <w:rsid w:val="00CE2145"/>
    <w:rsid w:val="00CE2BB1"/>
    <w:rsid w:val="00CF2181"/>
    <w:rsid w:val="00CF2E33"/>
    <w:rsid w:val="00CF6E62"/>
    <w:rsid w:val="00CF75CA"/>
    <w:rsid w:val="00D01B4F"/>
    <w:rsid w:val="00D03FFC"/>
    <w:rsid w:val="00D04863"/>
    <w:rsid w:val="00D054DF"/>
    <w:rsid w:val="00D15948"/>
    <w:rsid w:val="00D15E68"/>
    <w:rsid w:val="00D17E78"/>
    <w:rsid w:val="00D235BA"/>
    <w:rsid w:val="00D25973"/>
    <w:rsid w:val="00D26ABD"/>
    <w:rsid w:val="00D30108"/>
    <w:rsid w:val="00D30BEF"/>
    <w:rsid w:val="00D31FD6"/>
    <w:rsid w:val="00D33D25"/>
    <w:rsid w:val="00D351E2"/>
    <w:rsid w:val="00D44A13"/>
    <w:rsid w:val="00D454E7"/>
    <w:rsid w:val="00D4678F"/>
    <w:rsid w:val="00D50DCA"/>
    <w:rsid w:val="00D60E59"/>
    <w:rsid w:val="00D62746"/>
    <w:rsid w:val="00D6342C"/>
    <w:rsid w:val="00D6526F"/>
    <w:rsid w:val="00D75EA9"/>
    <w:rsid w:val="00D852F4"/>
    <w:rsid w:val="00D868E3"/>
    <w:rsid w:val="00D86C2E"/>
    <w:rsid w:val="00D8794F"/>
    <w:rsid w:val="00D908E8"/>
    <w:rsid w:val="00D92D3E"/>
    <w:rsid w:val="00D938F1"/>
    <w:rsid w:val="00D93F27"/>
    <w:rsid w:val="00DA056E"/>
    <w:rsid w:val="00DA079C"/>
    <w:rsid w:val="00DA19B3"/>
    <w:rsid w:val="00DA6B59"/>
    <w:rsid w:val="00DB3FB8"/>
    <w:rsid w:val="00DB41AA"/>
    <w:rsid w:val="00DB5736"/>
    <w:rsid w:val="00DB6441"/>
    <w:rsid w:val="00DC3DC5"/>
    <w:rsid w:val="00DC4089"/>
    <w:rsid w:val="00DD11B4"/>
    <w:rsid w:val="00DD3790"/>
    <w:rsid w:val="00DD71E4"/>
    <w:rsid w:val="00DE4C2A"/>
    <w:rsid w:val="00DE51F0"/>
    <w:rsid w:val="00DF0E60"/>
    <w:rsid w:val="00DF4975"/>
    <w:rsid w:val="00DF49DE"/>
    <w:rsid w:val="00DF4A76"/>
    <w:rsid w:val="00DF5872"/>
    <w:rsid w:val="00E03EB7"/>
    <w:rsid w:val="00E05E8E"/>
    <w:rsid w:val="00E06D5B"/>
    <w:rsid w:val="00E07812"/>
    <w:rsid w:val="00E10B17"/>
    <w:rsid w:val="00E11CCF"/>
    <w:rsid w:val="00E15F8C"/>
    <w:rsid w:val="00E17313"/>
    <w:rsid w:val="00E17944"/>
    <w:rsid w:val="00E20AE0"/>
    <w:rsid w:val="00E21097"/>
    <w:rsid w:val="00E30B79"/>
    <w:rsid w:val="00E32E3C"/>
    <w:rsid w:val="00E337C6"/>
    <w:rsid w:val="00E33B67"/>
    <w:rsid w:val="00E379B3"/>
    <w:rsid w:val="00E43755"/>
    <w:rsid w:val="00E44CC0"/>
    <w:rsid w:val="00E47267"/>
    <w:rsid w:val="00E47F09"/>
    <w:rsid w:val="00E52614"/>
    <w:rsid w:val="00E63A99"/>
    <w:rsid w:val="00E70DCC"/>
    <w:rsid w:val="00E70EFD"/>
    <w:rsid w:val="00E7326E"/>
    <w:rsid w:val="00E7441C"/>
    <w:rsid w:val="00E77FFD"/>
    <w:rsid w:val="00E864AC"/>
    <w:rsid w:val="00E91279"/>
    <w:rsid w:val="00E92286"/>
    <w:rsid w:val="00E961EA"/>
    <w:rsid w:val="00E97368"/>
    <w:rsid w:val="00EA53DE"/>
    <w:rsid w:val="00EA5989"/>
    <w:rsid w:val="00EA6EB8"/>
    <w:rsid w:val="00EB16F0"/>
    <w:rsid w:val="00EB22EC"/>
    <w:rsid w:val="00EC1BD3"/>
    <w:rsid w:val="00EC504A"/>
    <w:rsid w:val="00ED3E9D"/>
    <w:rsid w:val="00ED5FB2"/>
    <w:rsid w:val="00EE14E4"/>
    <w:rsid w:val="00EF1B56"/>
    <w:rsid w:val="00EF486E"/>
    <w:rsid w:val="00EF6A3C"/>
    <w:rsid w:val="00EF7CDD"/>
    <w:rsid w:val="00F04C29"/>
    <w:rsid w:val="00F04F87"/>
    <w:rsid w:val="00F06428"/>
    <w:rsid w:val="00F07BF3"/>
    <w:rsid w:val="00F10699"/>
    <w:rsid w:val="00F13092"/>
    <w:rsid w:val="00F209F8"/>
    <w:rsid w:val="00F22528"/>
    <w:rsid w:val="00F2309A"/>
    <w:rsid w:val="00F30BA9"/>
    <w:rsid w:val="00F315A0"/>
    <w:rsid w:val="00F31F89"/>
    <w:rsid w:val="00F3400E"/>
    <w:rsid w:val="00F3496B"/>
    <w:rsid w:val="00F50AFC"/>
    <w:rsid w:val="00F52F6C"/>
    <w:rsid w:val="00F56047"/>
    <w:rsid w:val="00F56D92"/>
    <w:rsid w:val="00F67A21"/>
    <w:rsid w:val="00F67ED0"/>
    <w:rsid w:val="00F72764"/>
    <w:rsid w:val="00F770C5"/>
    <w:rsid w:val="00F81739"/>
    <w:rsid w:val="00F84A02"/>
    <w:rsid w:val="00F934A4"/>
    <w:rsid w:val="00F94AD3"/>
    <w:rsid w:val="00F955B6"/>
    <w:rsid w:val="00F97A67"/>
    <w:rsid w:val="00FA01DC"/>
    <w:rsid w:val="00FB45E2"/>
    <w:rsid w:val="00FB57BF"/>
    <w:rsid w:val="00FC454F"/>
    <w:rsid w:val="00FC5CEE"/>
    <w:rsid w:val="00FC6BE8"/>
    <w:rsid w:val="00FD1A89"/>
    <w:rsid w:val="00FD527B"/>
    <w:rsid w:val="00FE2F78"/>
    <w:rsid w:val="00FE484D"/>
    <w:rsid w:val="00FF2D88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8E5F94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  <w:style w:type="character" w:customStyle="1" w:styleId="50">
    <w:name w:val="標題 5 字元"/>
    <w:basedOn w:val="a0"/>
    <w:link w:val="5"/>
    <w:uiPriority w:val="9"/>
    <w:rsid w:val="008E5F94"/>
    <w:rPr>
      <w:rFonts w:ascii="Times New Roman" w:eastAsia="Times New Roman" w:hAnsi="Times New Roman" w:cs="Times New Roman"/>
      <w:b/>
      <w:bCs/>
      <w:kern w:val="0"/>
      <w:sz w:val="20"/>
      <w:szCs w:val="20"/>
      <w:lang w:val="pt-PT"/>
    </w:rPr>
  </w:style>
  <w:style w:type="character" w:customStyle="1" w:styleId="showpagecaption">
    <w:name w:val="showpagecaption"/>
    <w:basedOn w:val="a0"/>
    <w:rsid w:val="008E5F94"/>
  </w:style>
  <w:style w:type="character" w:customStyle="1" w:styleId="10">
    <w:name w:val="標題 1 字元"/>
    <w:basedOn w:val="a0"/>
    <w:link w:val="1"/>
    <w:uiPriority w:val="9"/>
    <w:rsid w:val="00D8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8E5F94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  <w:style w:type="character" w:customStyle="1" w:styleId="50">
    <w:name w:val="標題 5 字元"/>
    <w:basedOn w:val="a0"/>
    <w:link w:val="5"/>
    <w:uiPriority w:val="9"/>
    <w:rsid w:val="008E5F94"/>
    <w:rPr>
      <w:rFonts w:ascii="Times New Roman" w:eastAsia="Times New Roman" w:hAnsi="Times New Roman" w:cs="Times New Roman"/>
      <w:b/>
      <w:bCs/>
      <w:kern w:val="0"/>
      <w:sz w:val="20"/>
      <w:szCs w:val="20"/>
      <w:lang w:val="pt-PT"/>
    </w:rPr>
  </w:style>
  <w:style w:type="character" w:customStyle="1" w:styleId="showpagecaption">
    <w:name w:val="showpagecaption"/>
    <w:basedOn w:val="a0"/>
    <w:rsid w:val="008E5F94"/>
  </w:style>
  <w:style w:type="character" w:customStyle="1" w:styleId="10">
    <w:name w:val="標題 1 字元"/>
    <w:basedOn w:val="a0"/>
    <w:link w:val="1"/>
    <w:uiPriority w:val="9"/>
    <w:rsid w:val="00D8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090D-79F2-436C-8E76-1C2E7402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</Company>
  <LinksUpToDate>false</LinksUpToDate>
  <CharactersWithSpaces>20965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HP-800</dc:creator>
  <cp:lastModifiedBy>HP-800</cp:lastModifiedBy>
  <cp:revision>3</cp:revision>
  <cp:lastPrinted>2020-07-28T02:07:00Z</cp:lastPrinted>
  <dcterms:created xsi:type="dcterms:W3CDTF">2020-08-17T07:38:00Z</dcterms:created>
  <dcterms:modified xsi:type="dcterms:W3CDTF">2020-08-17T08:09:00Z</dcterms:modified>
</cp:coreProperties>
</file>