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A7" w:rsidRPr="008C1BB0" w:rsidRDefault="008C1BB0" w:rsidP="00625376">
      <w:pPr>
        <w:shd w:val="clear" w:color="auto" w:fill="FFFFFF"/>
        <w:spacing w:beforeLines="50" w:before="180" w:afterLines="50" w:after="180"/>
        <w:jc w:val="center"/>
        <w:rPr>
          <w:rFonts w:eastAsia="新細明體"/>
          <w:b/>
          <w:snapToGrid w:val="0"/>
          <w:szCs w:val="24"/>
          <w:lang w:val="pt-PT"/>
        </w:rPr>
      </w:pPr>
      <w:r w:rsidRPr="008C1BB0">
        <w:rPr>
          <w:rFonts w:eastAsia="新細明體"/>
          <w:b/>
          <w:snapToGrid w:val="0"/>
          <w:szCs w:val="24"/>
          <w:lang w:val="pt-PT"/>
        </w:rPr>
        <w:t xml:space="preserve">Lista das Lojas Certificadas de Classe A de </w:t>
      </w:r>
      <w:r w:rsidR="001F7945">
        <w:rPr>
          <w:rFonts w:eastAsia="新細明體"/>
          <w:b/>
          <w:snapToGrid w:val="0"/>
          <w:szCs w:val="24"/>
          <w:lang w:val="pt-PT"/>
        </w:rPr>
        <w:t>2019</w:t>
      </w:r>
      <w:bookmarkStart w:id="0" w:name="_GoBack"/>
      <w:bookmarkEnd w:id="0"/>
    </w:p>
    <w:tbl>
      <w:tblPr>
        <w:tblW w:w="92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8981"/>
      </w:tblGrid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Abidi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Travessa dos Bombeiros no. 3-A a 3-B edf. Seng Wai, r/c A,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Choi Heong Yuen Bakery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Almeida Ribeiro no. 209,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Choi Heong Yuen Bakery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do Regedor Chun Fok Village (Ka Ip Kok) loja A-D,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Choi Heong Yuen Bakery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The Venetian Macao The Grand Canal Shoppes, loja no. 309,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Farmácia Chinesa Chong Kio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Infante D. Henrique no. 24, r/c,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6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Iau I Sam Iong Co.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Hotel Lisboa Macau New Wing, loja no. 32,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7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Digital-City of Dreams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Estrada do Istmo City of Dreams Macau 1º andar, loja no. R32-B,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8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Digital-Hotel Studio City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Estrada do Istmo Hotel Studio City, loja no. 1085, r/c,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9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Digital-The Venetian Macao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Estrada de Baía de Nossa Senhora da Esperança The Venetian Macao The Grand Canal Shoppes, loja no. 2013A,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10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Joalharia Fu Va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Horta e Costa no. 83-B,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11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Joalharia Seng Fung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Infante D.Henrique no. 38,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Keng Heng Jewellery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Almirante Lacerda no. 111 edf. Centro Comercial Wa Pou, r/c,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13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Lukfook Jewellery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Almeida Ribeiro no. 119, r/c, 1º andar, 2º andar e 3º andar,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Lukfook Jewellery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Infante D. Henrique no. 12-18, r/c,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15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Lukfook Jewellery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Estrada do Istmo Macao Cotai Central 1º andar, loja no. 1017,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16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Mannings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da Concórdia no. 120 loja D, r/c,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17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Mannings 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da Praia do Manduco no. 37,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</w:t>
            </w:r>
            <w:r>
              <w:rPr>
                <w:rFonts w:eastAsia="新細明體"/>
                <w:color w:val="000000"/>
                <w:sz w:val="20"/>
              </w:rPr>
              <w:t>8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Mannings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do Regedor no. 18-18A edf. Man Lei, r/c A e D, Taipa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October Fifth Bakery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de Cinco de Outubro no. 117,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20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Ourivesaria e Joalharia Seng Fung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D. João IV no. 34,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21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Ourivesaria e Relojoaria Seng Fung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Almeida Ribeiro no. 326,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Ourivesaria Seng Fung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Infante D.Henrique no. 32,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23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Ourivesaria Tin Seng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Horta e Costa no. 90-A,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Ourivesaria, Joalharia e Relojoaria Seng Fung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de Almeida Ribeiro no. 346,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25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Seng Fung Jewellery &amp; Watch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Infante D . Henrique no.36 edf. Kam Loi, r/c E,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26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Widex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Avenida do Coronel Mesquita no. 5-C edf. Jade Garden Bloco 2, r/c,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27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虹光軒超級市場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Cinco do Bairro da Areia Preta no. 20 e 22 edf. San Mei On, r/c DD e DC, Macau</w:t>
            </w:r>
          </w:p>
        </w:tc>
      </w:tr>
      <w:tr w:rsidR="002232F8" w:rsidRPr="008E09A5" w:rsidTr="002232F8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28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最香餅家</w:t>
            </w:r>
          </w:p>
          <w:p w:rsidR="002232F8" w:rsidRPr="008E09A5" w:rsidRDefault="002232F8" w:rsidP="009A1A0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Rua do Gamboa no. 12-B edf. Meng Fat, r/c A, Macau</w:t>
            </w:r>
          </w:p>
        </w:tc>
      </w:tr>
    </w:tbl>
    <w:p w:rsidR="009778A3" w:rsidRPr="002232F8" w:rsidRDefault="009778A3" w:rsidP="007E40A7">
      <w:pPr>
        <w:rPr>
          <w:sz w:val="20"/>
          <w:lang w:val="pt-PT"/>
        </w:rPr>
      </w:pPr>
    </w:p>
    <w:p w:rsidR="0070164A" w:rsidRDefault="008C1BB0" w:rsidP="007E40A7">
      <w:pPr>
        <w:rPr>
          <w:rFonts w:eastAsia="新細明體"/>
          <w:b/>
          <w:bCs/>
          <w:sz w:val="16"/>
          <w:szCs w:val="16"/>
          <w:lang w:val="pt-PT"/>
        </w:rPr>
      </w:pPr>
      <w:r w:rsidRPr="007D2DBE">
        <w:rPr>
          <w:rFonts w:eastAsia="新細明體"/>
          <w:b/>
          <w:bCs/>
          <w:sz w:val="16"/>
          <w:szCs w:val="16"/>
          <w:lang w:val="pt-PT"/>
        </w:rPr>
        <w:t>Os estabelecimentos comerciais são organizados, por ordem crescent</w:t>
      </w:r>
      <w:r w:rsidR="00B4251C" w:rsidRPr="007D2DBE">
        <w:rPr>
          <w:rFonts w:eastAsia="新細明體"/>
          <w:b/>
          <w:bCs/>
          <w:sz w:val="16"/>
          <w:szCs w:val="16"/>
          <w:lang w:val="pt-PT"/>
        </w:rPr>
        <w:t>e</w:t>
      </w:r>
      <w:r w:rsidRPr="007D2DBE">
        <w:rPr>
          <w:rFonts w:eastAsia="新細明體"/>
          <w:b/>
          <w:bCs/>
          <w:sz w:val="16"/>
          <w:szCs w:val="16"/>
          <w:lang w:val="pt-PT"/>
        </w:rPr>
        <w:t>, conforme o número de traços do primeiro cáracter da sua designação em chinês.</w:t>
      </w:r>
    </w:p>
    <w:p w:rsidR="007D2DBE" w:rsidRPr="007D2DBE" w:rsidRDefault="007D2DBE" w:rsidP="007E40A7">
      <w:pPr>
        <w:rPr>
          <w:rFonts w:eastAsia="新細明體"/>
          <w:b/>
          <w:bCs/>
          <w:sz w:val="16"/>
          <w:szCs w:val="16"/>
          <w:lang w:val="pt-PT"/>
        </w:rPr>
      </w:pPr>
    </w:p>
    <w:p w:rsidR="0070164A" w:rsidRPr="007D2DBE" w:rsidRDefault="00AA222D" w:rsidP="00AA222D">
      <w:pPr>
        <w:widowControl/>
        <w:adjustRightInd/>
        <w:spacing w:line="240" w:lineRule="auto"/>
        <w:jc w:val="both"/>
        <w:rPr>
          <w:rFonts w:eastAsia="新細明體"/>
          <w:b/>
          <w:bCs/>
          <w:sz w:val="16"/>
          <w:szCs w:val="16"/>
          <w:lang w:val="pt-PT"/>
        </w:rPr>
      </w:pPr>
      <w:r w:rsidRPr="007D2DBE">
        <w:rPr>
          <w:rFonts w:eastAsia="新細明體"/>
          <w:b/>
          <w:bCs/>
          <w:sz w:val="16"/>
          <w:szCs w:val="16"/>
          <w:lang w:val="pt-PT"/>
        </w:rPr>
        <w:t xml:space="preserve">* </w:t>
      </w:r>
      <w:r w:rsidR="005C44D0" w:rsidRPr="007D2DBE">
        <w:rPr>
          <w:rFonts w:eastAsia="新細明體"/>
          <w:b/>
          <w:bCs/>
          <w:sz w:val="16"/>
          <w:szCs w:val="16"/>
          <w:lang w:val="pt-PT"/>
        </w:rPr>
        <w:t>O</w:t>
      </w:r>
      <w:r w:rsidRPr="007D2DBE">
        <w:rPr>
          <w:rFonts w:eastAsia="新細明體"/>
          <w:b/>
          <w:bCs/>
          <w:sz w:val="16"/>
          <w:szCs w:val="16"/>
          <w:lang w:val="pt-PT"/>
        </w:rPr>
        <w:t xml:space="preserve"> estabeleci</w:t>
      </w:r>
      <w:r w:rsidR="005C44D0" w:rsidRPr="007D2DBE">
        <w:rPr>
          <w:rFonts w:eastAsia="新細明體"/>
          <w:b/>
          <w:bCs/>
          <w:sz w:val="16"/>
          <w:szCs w:val="16"/>
          <w:lang w:val="pt-PT"/>
        </w:rPr>
        <w:t>mento</w:t>
      </w:r>
      <w:r w:rsidRPr="007D2DBE">
        <w:rPr>
          <w:rFonts w:eastAsia="新細明體"/>
          <w:b/>
          <w:bCs/>
          <w:sz w:val="16"/>
          <w:szCs w:val="16"/>
          <w:lang w:val="pt-PT"/>
        </w:rPr>
        <w:t xml:space="preserve"> t</w:t>
      </w:r>
      <w:r w:rsidR="005C44D0" w:rsidRPr="007D2DBE">
        <w:rPr>
          <w:rFonts w:eastAsia="新細明體"/>
          <w:b/>
          <w:bCs/>
          <w:sz w:val="16"/>
          <w:szCs w:val="16"/>
          <w:lang w:val="pt-PT"/>
        </w:rPr>
        <w:t>e</w:t>
      </w:r>
      <w:r w:rsidRPr="007D2DBE">
        <w:rPr>
          <w:rFonts w:eastAsia="新細明體"/>
          <w:b/>
          <w:bCs/>
          <w:sz w:val="16"/>
          <w:szCs w:val="16"/>
          <w:lang w:val="pt-PT"/>
        </w:rPr>
        <w:t>m somente a designação em chinês, que, portanto, foi traduzida para português pelo Conselho de Consumidores</w:t>
      </w:r>
      <w:r w:rsidR="00924ED2" w:rsidRPr="007D2DBE">
        <w:rPr>
          <w:rFonts w:eastAsia="新細明體"/>
          <w:b/>
          <w:bCs/>
          <w:sz w:val="16"/>
          <w:szCs w:val="16"/>
          <w:lang w:val="pt-PT"/>
        </w:rPr>
        <w:t xml:space="preserve"> para permitir a compreensão dos leitores de língua portuguesa</w:t>
      </w:r>
      <w:r w:rsidRPr="007D2DBE">
        <w:rPr>
          <w:rFonts w:eastAsia="新細明體"/>
          <w:b/>
          <w:bCs/>
          <w:sz w:val="16"/>
          <w:szCs w:val="16"/>
          <w:lang w:val="pt-PT"/>
        </w:rPr>
        <w:t>.</w:t>
      </w:r>
    </w:p>
    <w:p w:rsidR="007E40A7" w:rsidRPr="008C1BB0" w:rsidRDefault="007E40A7" w:rsidP="007E40A7">
      <w:pPr>
        <w:rPr>
          <w:b/>
          <w:bCs/>
          <w:sz w:val="18"/>
          <w:szCs w:val="18"/>
          <w:lang w:val="pt-PT"/>
        </w:rPr>
      </w:pPr>
    </w:p>
    <w:p w:rsidR="00AE64A4" w:rsidRPr="008C1BB0" w:rsidRDefault="00AE64A4">
      <w:pPr>
        <w:widowControl/>
        <w:adjustRightInd/>
        <w:spacing w:line="240" w:lineRule="auto"/>
        <w:rPr>
          <w:lang w:val="pt-PT"/>
        </w:rPr>
      </w:pPr>
    </w:p>
    <w:sectPr w:rsidR="00AE64A4" w:rsidRPr="008C1BB0" w:rsidSect="002232F8">
      <w:pgSz w:w="11906" w:h="16838"/>
      <w:pgMar w:top="144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F8" w:rsidRDefault="002232F8" w:rsidP="002232F8">
      <w:pPr>
        <w:spacing w:line="240" w:lineRule="auto"/>
      </w:pPr>
      <w:r>
        <w:separator/>
      </w:r>
    </w:p>
  </w:endnote>
  <w:endnote w:type="continuationSeparator" w:id="0">
    <w:p w:rsidR="002232F8" w:rsidRDefault="002232F8" w:rsidP="00223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F8" w:rsidRDefault="002232F8" w:rsidP="002232F8">
      <w:pPr>
        <w:spacing w:line="240" w:lineRule="auto"/>
      </w:pPr>
      <w:r>
        <w:separator/>
      </w:r>
    </w:p>
  </w:footnote>
  <w:footnote w:type="continuationSeparator" w:id="0">
    <w:p w:rsidR="002232F8" w:rsidRDefault="002232F8" w:rsidP="002232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7"/>
    <w:rsid w:val="000E5E63"/>
    <w:rsid w:val="001C0D28"/>
    <w:rsid w:val="001F7945"/>
    <w:rsid w:val="002232F8"/>
    <w:rsid w:val="0035133F"/>
    <w:rsid w:val="0039313B"/>
    <w:rsid w:val="005447E5"/>
    <w:rsid w:val="00566658"/>
    <w:rsid w:val="005A3E94"/>
    <w:rsid w:val="005A49BE"/>
    <w:rsid w:val="005C44D0"/>
    <w:rsid w:val="00625376"/>
    <w:rsid w:val="006D64A1"/>
    <w:rsid w:val="006E1BA5"/>
    <w:rsid w:val="006F506C"/>
    <w:rsid w:val="0070164A"/>
    <w:rsid w:val="007D2DBE"/>
    <w:rsid w:val="007D77E5"/>
    <w:rsid w:val="007E40A7"/>
    <w:rsid w:val="008C1BB0"/>
    <w:rsid w:val="008D2736"/>
    <w:rsid w:val="00924ED2"/>
    <w:rsid w:val="00954871"/>
    <w:rsid w:val="009778A3"/>
    <w:rsid w:val="009D4232"/>
    <w:rsid w:val="00A86DE9"/>
    <w:rsid w:val="00A946A9"/>
    <w:rsid w:val="00AA222D"/>
    <w:rsid w:val="00AE64A4"/>
    <w:rsid w:val="00B4251C"/>
    <w:rsid w:val="00B46FEB"/>
    <w:rsid w:val="00B658E2"/>
    <w:rsid w:val="00B71BF1"/>
    <w:rsid w:val="00BB0AA2"/>
    <w:rsid w:val="00BC4A82"/>
    <w:rsid w:val="00D20C5D"/>
    <w:rsid w:val="00D5000B"/>
    <w:rsid w:val="00D55782"/>
    <w:rsid w:val="00DF1F66"/>
    <w:rsid w:val="00E00A98"/>
    <w:rsid w:val="00E27F8E"/>
    <w:rsid w:val="00ED7C55"/>
    <w:rsid w:val="00EE1372"/>
    <w:rsid w:val="00F2431B"/>
    <w:rsid w:val="00F32266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8660A"/>
  <w15:docId w15:val="{6D6C94C8-2EE9-4FD8-A3D9-B82F98DE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table" w:styleId="a4">
    <w:name w:val="Table Grid"/>
    <w:basedOn w:val="a1"/>
    <w:uiPriority w:val="59"/>
    <w:rsid w:val="00DF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2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32F8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32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32F8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D95B-708E-4397-9D97-45047A8F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Leong In Ha</cp:lastModifiedBy>
  <cp:revision>6</cp:revision>
  <cp:lastPrinted>2018-11-30T08:52:00Z</cp:lastPrinted>
  <dcterms:created xsi:type="dcterms:W3CDTF">2019-11-28T08:52:00Z</dcterms:created>
  <dcterms:modified xsi:type="dcterms:W3CDTF">2019-11-29T03:38:00Z</dcterms:modified>
</cp:coreProperties>
</file>