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5C" w:rsidRDefault="00D04B5C" w:rsidP="00D04B5C">
      <w:pPr>
        <w:spacing w:line="240" w:lineRule="auto"/>
        <w:jc w:val="center"/>
        <w:rPr>
          <w:rFonts w:cs="Times New Roman"/>
          <w:b/>
          <w:iCs/>
          <w:lang w:eastAsia="zh-TW"/>
        </w:rPr>
      </w:pPr>
      <w:bookmarkStart w:id="0" w:name="_GoBack"/>
      <w:bookmarkEnd w:id="0"/>
    </w:p>
    <w:p w:rsidR="00D04B5C" w:rsidRDefault="00D04B5C" w:rsidP="00D04B5C">
      <w:pPr>
        <w:spacing w:line="240" w:lineRule="auto"/>
        <w:jc w:val="center"/>
        <w:rPr>
          <w:rFonts w:cs="Times New Roman"/>
          <w:b/>
          <w:iCs/>
          <w:lang w:eastAsia="zh-TW"/>
        </w:rPr>
      </w:pPr>
    </w:p>
    <w:p w:rsidR="00D04B5C" w:rsidRPr="005B0CB5" w:rsidRDefault="00D04B5C" w:rsidP="00D04B5C">
      <w:pPr>
        <w:spacing w:line="240" w:lineRule="auto"/>
        <w:jc w:val="center"/>
        <w:rPr>
          <w:rFonts w:cs="Times New Roman"/>
          <w:b/>
          <w:iCs/>
          <w:lang w:eastAsia="zh-TW"/>
        </w:rPr>
      </w:pPr>
      <w:r w:rsidRPr="005B0CB5">
        <w:rPr>
          <w:rFonts w:cs="Times New Roman"/>
          <w:b/>
          <w:iCs/>
          <w:lang w:eastAsia="zh-TW"/>
        </w:rPr>
        <w:t>博</w:t>
      </w:r>
      <w:proofErr w:type="gramStart"/>
      <w:r w:rsidRPr="005B0CB5">
        <w:rPr>
          <w:rFonts w:cs="Times New Roman"/>
          <w:b/>
          <w:iCs/>
          <w:lang w:eastAsia="zh-TW"/>
        </w:rPr>
        <w:t>彩承批及</w:t>
      </w:r>
      <w:r w:rsidRPr="005B0CB5">
        <w:rPr>
          <w:rFonts w:cs="Times New Roman" w:hint="eastAsia"/>
          <w:b/>
          <w:iCs/>
          <w:lang w:eastAsia="zh-TW"/>
        </w:rPr>
        <w:t>轉批</w:t>
      </w:r>
      <w:proofErr w:type="gramEnd"/>
      <w:r w:rsidRPr="005B0CB5">
        <w:rPr>
          <w:rFonts w:cs="Times New Roman" w:hint="eastAsia"/>
          <w:b/>
          <w:iCs/>
          <w:lang w:eastAsia="zh-TW"/>
        </w:rPr>
        <w:t>給合同中的</w:t>
      </w:r>
      <w:r w:rsidRPr="005B0CB5">
        <w:rPr>
          <w:rFonts w:cs="Times New Roman"/>
          <w:b/>
          <w:iCs/>
          <w:lang w:eastAsia="zh-TW"/>
        </w:rPr>
        <w:t>投資</w:t>
      </w:r>
      <w:r w:rsidRPr="005B0CB5">
        <w:rPr>
          <w:rFonts w:cs="Times New Roman" w:hint="eastAsia"/>
          <w:b/>
          <w:iCs/>
          <w:lang w:eastAsia="zh-TW"/>
        </w:rPr>
        <w:t>總額</w:t>
      </w:r>
      <w:r w:rsidRPr="005B0CB5">
        <w:rPr>
          <w:rFonts w:cs="Times New Roman"/>
          <w:b/>
          <w:iCs/>
          <w:lang w:eastAsia="zh-TW"/>
        </w:rPr>
        <w:t>的完成情況</w:t>
      </w:r>
    </w:p>
    <w:tbl>
      <w:tblPr>
        <w:tblpPr w:leftFromText="180" w:rightFromText="180" w:vertAnchor="text" w:horzAnchor="margin" w:tblpXSpec="center" w:tblpY="32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2126"/>
        <w:gridCol w:w="1362"/>
        <w:gridCol w:w="1615"/>
        <w:gridCol w:w="1275"/>
      </w:tblGrid>
      <w:tr w:rsidR="00D04B5C" w:rsidRPr="005B0CB5" w:rsidTr="00880B08">
        <w:trPr>
          <w:trHeight w:val="563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承批及轉批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給合同中</w:t>
            </w:r>
            <w:r w:rsidRPr="005B0CB5">
              <w:rPr>
                <w:rFonts w:cs="Times New Roman"/>
                <w:color w:val="000000"/>
                <w:sz w:val="20"/>
                <w:szCs w:val="20"/>
                <w:lang w:eastAsia="zh-TW"/>
              </w:rPr>
              <w:t>的</w:t>
            </w: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投資總額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承諾支出時間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承批及轉批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給合同訂立時間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承諾時間內實際投資金額</w:t>
            </w:r>
          </w:p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(七年內)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承批及轉批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給合同之投資金額的完成情況</w:t>
            </w:r>
          </w:p>
        </w:tc>
      </w:tr>
      <w:tr w:rsidR="00D04B5C" w:rsidRPr="005B0CB5" w:rsidTr="00880B08">
        <w:trPr>
          <w:trHeight w:val="639"/>
        </w:trPr>
        <w:tc>
          <w:tcPr>
            <w:tcW w:w="1271" w:type="dxa"/>
            <w:vMerge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B0CB5">
              <w:rPr>
                <w:rFonts w:cs="Times New Roman" w:hint="eastAsia"/>
                <w:color w:val="000000"/>
                <w:sz w:val="18"/>
                <w:szCs w:val="18"/>
                <w:lang w:eastAsia="zh-TW"/>
              </w:rPr>
              <w:t>（百萬澳門元）</w:t>
            </w:r>
          </w:p>
        </w:tc>
        <w:tc>
          <w:tcPr>
            <w:tcW w:w="2126" w:type="dxa"/>
            <w:vMerge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B0CB5">
              <w:rPr>
                <w:rFonts w:cs="微軟正黑體" w:hint="eastAsia"/>
                <w:color w:val="000000"/>
                <w:sz w:val="18"/>
                <w:szCs w:val="18"/>
              </w:rPr>
              <w:t>（百萬澳門元）</w:t>
            </w:r>
          </w:p>
        </w:tc>
        <w:tc>
          <w:tcPr>
            <w:tcW w:w="1275" w:type="dxa"/>
            <w:vMerge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4B5C" w:rsidRPr="005B0CB5" w:rsidTr="00880B08">
        <w:trPr>
          <w:trHeight w:val="899"/>
        </w:trPr>
        <w:tc>
          <w:tcPr>
            <w:tcW w:w="1271" w:type="dxa"/>
            <w:shd w:val="clear" w:color="auto" w:fill="auto"/>
            <w:vAlign w:val="center"/>
            <w:hideMark/>
          </w:tcPr>
          <w:p w:rsidR="00D04B5C" w:rsidRPr="005B0CB5" w:rsidRDefault="009765C7" w:rsidP="00880B08">
            <w:pPr>
              <w:spacing w:after="0" w:line="260" w:lineRule="exact"/>
              <w:jc w:val="both"/>
              <w:rPr>
                <w:rFonts w:cs="Times New Roman"/>
                <w:color w:val="0000FF"/>
                <w:sz w:val="18"/>
                <w:szCs w:val="18"/>
                <w:u w:val="single"/>
                <w:lang w:eastAsia="zh-TW"/>
              </w:rPr>
            </w:pPr>
            <w:hyperlink r:id="rId7" w:history="1"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澳門博彩股份有限公司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4,737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必須於</w:t>
            </w: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訂立本批給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合同後的7年內支出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2002年3月28日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11,527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完成</w:t>
            </w:r>
          </w:p>
        </w:tc>
      </w:tr>
      <w:tr w:rsidR="00D04B5C" w:rsidRPr="005B0CB5" w:rsidTr="00880B08">
        <w:trPr>
          <w:trHeight w:val="899"/>
        </w:trPr>
        <w:tc>
          <w:tcPr>
            <w:tcW w:w="1271" w:type="dxa"/>
            <w:shd w:val="clear" w:color="auto" w:fill="auto"/>
            <w:vAlign w:val="center"/>
            <w:hideMark/>
          </w:tcPr>
          <w:p w:rsidR="00D04B5C" w:rsidRPr="005B0CB5" w:rsidRDefault="009765C7" w:rsidP="00880B08">
            <w:pPr>
              <w:spacing w:after="0" w:line="260" w:lineRule="exact"/>
              <w:jc w:val="both"/>
              <w:rPr>
                <w:rFonts w:cs="Times New Roman"/>
                <w:color w:val="0000FF"/>
                <w:sz w:val="18"/>
                <w:szCs w:val="18"/>
                <w:u w:val="single"/>
                <w:lang w:eastAsia="zh-TW"/>
              </w:rPr>
            </w:pPr>
            <w:hyperlink r:id="rId8" w:history="1"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永利渡假村（澳門）股份有限公司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必須於</w:t>
            </w: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訂立本批給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合同後的7年內支出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2002年6月24日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12,607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完成</w:t>
            </w:r>
          </w:p>
        </w:tc>
      </w:tr>
      <w:tr w:rsidR="00D04B5C" w:rsidRPr="005B0CB5" w:rsidTr="00880B08">
        <w:trPr>
          <w:trHeight w:val="899"/>
        </w:trPr>
        <w:tc>
          <w:tcPr>
            <w:tcW w:w="1271" w:type="dxa"/>
            <w:shd w:val="clear" w:color="auto" w:fill="auto"/>
            <w:vAlign w:val="center"/>
            <w:hideMark/>
          </w:tcPr>
          <w:p w:rsidR="00D04B5C" w:rsidRPr="005B0CB5" w:rsidRDefault="009765C7" w:rsidP="00880B08">
            <w:pPr>
              <w:spacing w:after="0" w:line="260" w:lineRule="exact"/>
              <w:jc w:val="both"/>
              <w:rPr>
                <w:rFonts w:cs="Times New Roman"/>
                <w:color w:val="0000FF"/>
                <w:sz w:val="18"/>
                <w:szCs w:val="18"/>
                <w:u w:val="single"/>
                <w:lang w:eastAsia="zh-TW"/>
              </w:rPr>
            </w:pPr>
            <w:hyperlink r:id="rId9" w:history="1"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銀河娛樂場股份有限公司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8,800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必須於</w:t>
            </w: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訂立本批給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合同後的7年內支出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2002年6月26日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eastAsia="SimSun"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7,588</w:t>
            </w: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＊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完成</w:t>
            </w:r>
          </w:p>
        </w:tc>
      </w:tr>
      <w:tr w:rsidR="00D04B5C" w:rsidRPr="005B0CB5" w:rsidTr="00880B08">
        <w:trPr>
          <w:trHeight w:val="899"/>
        </w:trPr>
        <w:tc>
          <w:tcPr>
            <w:tcW w:w="1271" w:type="dxa"/>
            <w:shd w:val="clear" w:color="auto" w:fill="auto"/>
            <w:vAlign w:val="center"/>
            <w:hideMark/>
          </w:tcPr>
          <w:p w:rsidR="00D04B5C" w:rsidRPr="005B0CB5" w:rsidRDefault="009765C7" w:rsidP="00880B08">
            <w:pPr>
              <w:spacing w:after="0" w:line="260" w:lineRule="exact"/>
              <w:jc w:val="both"/>
              <w:rPr>
                <w:rFonts w:cs="Times New Roman"/>
                <w:color w:val="000000"/>
                <w:sz w:val="18"/>
                <w:szCs w:val="18"/>
                <w:lang w:eastAsia="zh-TW"/>
              </w:rPr>
            </w:pPr>
            <w:hyperlink r:id="rId10" w:history="1"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威尼斯人澳門股份有限公司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4,400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必須於訂立</w:t>
            </w: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本轉批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給合同後的7年內支出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2002年12月19日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53,501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完成</w:t>
            </w:r>
          </w:p>
        </w:tc>
      </w:tr>
      <w:tr w:rsidR="00D04B5C" w:rsidRPr="005B0CB5" w:rsidTr="00880B08">
        <w:trPr>
          <w:trHeight w:val="899"/>
        </w:trPr>
        <w:tc>
          <w:tcPr>
            <w:tcW w:w="1271" w:type="dxa"/>
            <w:shd w:val="clear" w:color="auto" w:fill="auto"/>
            <w:vAlign w:val="center"/>
            <w:hideMark/>
          </w:tcPr>
          <w:p w:rsidR="00D04B5C" w:rsidRPr="005B0CB5" w:rsidRDefault="009765C7" w:rsidP="00880B08">
            <w:pPr>
              <w:spacing w:after="0" w:line="260" w:lineRule="exact"/>
              <w:jc w:val="both"/>
              <w:rPr>
                <w:rFonts w:cs="Times New Roman"/>
                <w:color w:val="000000"/>
                <w:sz w:val="18"/>
                <w:szCs w:val="18"/>
                <w:lang w:eastAsia="zh-TW"/>
              </w:rPr>
            </w:pPr>
            <w:hyperlink r:id="rId11" w:history="1"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美高梅金殿超</w:t>
              </w:r>
              <w:proofErr w:type="gramStart"/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濠</w:t>
              </w:r>
              <w:proofErr w:type="gramEnd"/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股份有限公司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必須於訂立</w:t>
            </w: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本轉批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給合同後的7年內支出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2005年4月19日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10,267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完成</w:t>
            </w:r>
          </w:p>
        </w:tc>
      </w:tr>
      <w:tr w:rsidR="00D04B5C" w:rsidRPr="005B0CB5" w:rsidTr="00880B08">
        <w:trPr>
          <w:trHeight w:val="899"/>
        </w:trPr>
        <w:tc>
          <w:tcPr>
            <w:tcW w:w="1271" w:type="dxa"/>
            <w:shd w:val="clear" w:color="auto" w:fill="auto"/>
            <w:vAlign w:val="center"/>
            <w:hideMark/>
          </w:tcPr>
          <w:p w:rsidR="00D04B5C" w:rsidRPr="005B0CB5" w:rsidRDefault="009765C7" w:rsidP="00880B08">
            <w:pPr>
              <w:spacing w:after="0" w:line="260" w:lineRule="exact"/>
              <w:jc w:val="both"/>
              <w:rPr>
                <w:rFonts w:cs="Times New Roman"/>
                <w:color w:val="000000"/>
                <w:sz w:val="18"/>
                <w:szCs w:val="18"/>
                <w:lang w:eastAsia="zh-TW"/>
              </w:rPr>
            </w:pPr>
            <w:hyperlink r:id="rId12" w:history="1"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新</w:t>
              </w:r>
              <w:proofErr w:type="gramStart"/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濠博亞</w:t>
              </w:r>
              <w:proofErr w:type="gramEnd"/>
              <w:r w:rsidR="00D04B5C" w:rsidRPr="005B0CB5">
                <w:rPr>
                  <w:rFonts w:cs="Times New Roman" w:hint="eastAsia"/>
                  <w:color w:val="000000"/>
                  <w:sz w:val="18"/>
                  <w:szCs w:val="18"/>
                  <w:lang w:eastAsia="zh-TW"/>
                </w:rPr>
                <w:t>（澳門）股份有限公司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zh-TW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必須於訂立</w:t>
            </w:r>
            <w:proofErr w:type="gramStart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本轉批</w:t>
            </w:r>
            <w:proofErr w:type="gramEnd"/>
            <w:r w:rsidRPr="005B0CB5">
              <w:rPr>
                <w:rFonts w:cs="Times New Roman" w:hint="eastAsia"/>
                <w:color w:val="000000"/>
                <w:sz w:val="20"/>
                <w:szCs w:val="20"/>
                <w:lang w:eastAsia="zh-TW"/>
              </w:rPr>
              <w:t>給合同後的7年內支出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2006年9月8日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42,322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04B5C" w:rsidRPr="005B0CB5" w:rsidRDefault="00D04B5C" w:rsidP="00880B0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B0CB5">
              <w:rPr>
                <w:rFonts w:cs="Times New Roman" w:hint="eastAsia"/>
                <w:color w:val="000000"/>
                <w:sz w:val="20"/>
                <w:szCs w:val="20"/>
              </w:rPr>
              <w:t>完成</w:t>
            </w:r>
          </w:p>
        </w:tc>
      </w:tr>
    </w:tbl>
    <w:p w:rsidR="00D04B5C" w:rsidRPr="005B0CB5" w:rsidRDefault="00D04B5C" w:rsidP="00D04B5C">
      <w:pPr>
        <w:spacing w:line="240" w:lineRule="auto"/>
        <w:rPr>
          <w:rFonts w:cs="Times New Roman"/>
          <w:noProof/>
          <w:sz w:val="16"/>
          <w:szCs w:val="20"/>
          <w:lang w:eastAsia="zh-TW"/>
        </w:rPr>
      </w:pPr>
      <w:r w:rsidRPr="005B0CB5">
        <w:rPr>
          <w:rFonts w:cs="Times New Roman" w:hint="eastAsia"/>
          <w:noProof/>
          <w:sz w:val="16"/>
          <w:szCs w:val="20"/>
          <w:lang w:eastAsia="zh-TW"/>
        </w:rPr>
        <w:t>資料來源：承批合同附件及轉批給合同附件（投資計劃）；實際</w:t>
      </w:r>
      <w:r w:rsidRPr="005B0CB5">
        <w:rPr>
          <w:rFonts w:cs="Times New Roman"/>
          <w:noProof/>
          <w:sz w:val="16"/>
          <w:szCs w:val="20"/>
          <w:lang w:eastAsia="zh-TW"/>
        </w:rPr>
        <w:t>投資金額由</w:t>
      </w:r>
      <w:r w:rsidRPr="005B0CB5">
        <w:rPr>
          <w:rFonts w:cs="Times New Roman" w:hint="eastAsia"/>
          <w:noProof/>
          <w:sz w:val="16"/>
          <w:szCs w:val="20"/>
          <w:lang w:eastAsia="zh-TW"/>
        </w:rPr>
        <w:t>博彩監察協調局提供（博彩監察</w:t>
      </w:r>
      <w:r w:rsidRPr="005B0CB5">
        <w:rPr>
          <w:rFonts w:cs="Times New Roman"/>
          <w:noProof/>
          <w:sz w:val="16"/>
          <w:szCs w:val="20"/>
          <w:lang w:eastAsia="zh-TW"/>
        </w:rPr>
        <w:t>協調局</w:t>
      </w:r>
      <w:r w:rsidRPr="005B0CB5">
        <w:rPr>
          <w:rFonts w:cs="Times New Roman" w:hint="eastAsia"/>
          <w:noProof/>
          <w:sz w:val="16"/>
          <w:szCs w:val="20"/>
          <w:lang w:eastAsia="zh-TW"/>
        </w:rPr>
        <w:t>提供</w:t>
      </w:r>
      <w:r w:rsidRPr="005B0CB5">
        <w:rPr>
          <w:rFonts w:cs="Times New Roman"/>
          <w:noProof/>
          <w:sz w:val="16"/>
          <w:szCs w:val="20"/>
          <w:lang w:eastAsia="zh-TW"/>
        </w:rPr>
        <w:t>的是年實際投資金額，為計算需要，課題組將其按比例轉化為日實際投資金額）</w:t>
      </w:r>
      <w:r w:rsidRPr="005B0CB5">
        <w:rPr>
          <w:rFonts w:cs="Times New Roman" w:hint="eastAsia"/>
          <w:noProof/>
          <w:sz w:val="16"/>
          <w:szCs w:val="20"/>
          <w:lang w:eastAsia="zh-TW"/>
        </w:rPr>
        <w:t>。</w:t>
      </w:r>
    </w:p>
    <w:p w:rsidR="00D04B5C" w:rsidRPr="00EB2CB9" w:rsidRDefault="00D04B5C" w:rsidP="00D04B5C">
      <w:pPr>
        <w:spacing w:line="240" w:lineRule="auto"/>
        <w:jc w:val="both"/>
        <w:rPr>
          <w:rFonts w:eastAsia="SimSun" w:cs="Times New Roman"/>
          <w:noProof/>
          <w:sz w:val="16"/>
          <w:szCs w:val="20"/>
          <w:lang w:eastAsia="zh-TW"/>
        </w:rPr>
      </w:pPr>
      <w:r>
        <w:rPr>
          <w:rFonts w:cs="Times New Roman" w:hint="eastAsia"/>
          <w:noProof/>
          <w:sz w:val="16"/>
          <w:szCs w:val="20"/>
          <w:lang w:eastAsia="zh-TW"/>
        </w:rPr>
        <w:t>註：</w:t>
      </w:r>
      <w:r w:rsidRPr="005B0CB5">
        <w:rPr>
          <w:rFonts w:cs="Times New Roman" w:hint="eastAsia"/>
          <w:noProof/>
          <w:sz w:val="18"/>
          <w:szCs w:val="22"/>
          <w:lang w:eastAsia="zh-TW"/>
        </w:rPr>
        <w:t>雖然銀河在合同簽署後七年內(即2002年6月26日至2009年6月26日)的實際投資金額只有75.88億澳門元，少於承批合同內要求之投資金額(即88億澳門元)，但根據銀河與威尼斯人轉批給合同協議，銀河原投資計劃的部份項目被移轉給威尼斯人承擔。因此，根據協議，</w:t>
      </w:r>
      <w:r>
        <w:rPr>
          <w:rFonts w:cs="Times New Roman" w:hint="eastAsia"/>
          <w:noProof/>
          <w:sz w:val="18"/>
          <w:szCs w:val="22"/>
          <w:lang w:eastAsia="zh-TW"/>
        </w:rPr>
        <w:t>後者的投資金額亦被計算入前者的投資總額中，但以四十四億為限，研究報告</w:t>
      </w:r>
      <w:r w:rsidRPr="005B0CB5">
        <w:rPr>
          <w:rFonts w:cs="Times New Roman" w:hint="eastAsia"/>
          <w:noProof/>
          <w:sz w:val="18"/>
          <w:szCs w:val="22"/>
          <w:lang w:eastAsia="zh-TW"/>
        </w:rPr>
        <w:t>（博彩承批及轉批給合同中的投資計劃）已有詳細解釋。因此，銀河亦完成了承批合同之投資金額要求。</w:t>
      </w:r>
    </w:p>
    <w:p w:rsidR="00D04B5C" w:rsidRDefault="00D04B5C" w:rsidP="00D04B5C">
      <w:pPr>
        <w:rPr>
          <w:lang w:eastAsia="zh-TW"/>
        </w:rPr>
      </w:pPr>
    </w:p>
    <w:p w:rsidR="007F7CEE" w:rsidRPr="00D04B5C" w:rsidRDefault="007F7CEE"/>
    <w:sectPr w:rsidR="007F7CEE" w:rsidRPr="00D04B5C" w:rsidSect="00000F6B">
      <w:headerReference w:type="default" r:id="rId13"/>
      <w:footerReference w:type="default" r:id="rId14"/>
      <w:footerReference w:type="first" r:id="rId15"/>
      <w:pgSz w:w="11907" w:h="16839" w:code="9"/>
      <w:pgMar w:top="1440" w:right="1797" w:bottom="1440" w:left="1797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C7" w:rsidRDefault="009765C7" w:rsidP="00D04B5C">
      <w:pPr>
        <w:spacing w:after="0" w:line="240" w:lineRule="auto"/>
      </w:pPr>
      <w:r>
        <w:separator/>
      </w:r>
    </w:p>
  </w:endnote>
  <w:endnote w:type="continuationSeparator" w:id="0">
    <w:p w:rsidR="009765C7" w:rsidRDefault="009765C7" w:rsidP="00D0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20880702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:rsidR="001C52B6" w:rsidRPr="001C52B6" w:rsidRDefault="00D04B5C">
        <w:pPr>
          <w:pStyle w:val="a5"/>
          <w:jc w:val="right"/>
          <w:rPr>
            <w:sz w:val="22"/>
          </w:rPr>
        </w:pPr>
        <w:r w:rsidRPr="002108B5">
          <w:rPr>
            <w:rFonts w:hint="eastAsia"/>
            <w:sz w:val="22"/>
            <w:szCs w:val="22"/>
          </w:rPr>
          <w:t>第</w:t>
        </w:r>
        <w:r w:rsidRPr="002108B5">
          <w:rPr>
            <w:rFonts w:hint="eastAsia"/>
            <w:sz w:val="22"/>
            <w:szCs w:val="22"/>
            <w:lang w:eastAsia="zh-TW"/>
          </w:rPr>
          <w:t>四</w:t>
        </w:r>
        <w:r>
          <w:rPr>
            <w:rFonts w:hint="eastAsia"/>
            <w:sz w:val="22"/>
            <w:szCs w:val="22"/>
          </w:rPr>
          <w:t>部份</w:t>
        </w:r>
        <w:r w:rsidRPr="002108B5">
          <w:rPr>
            <w:rFonts w:hint="eastAsia"/>
            <w:sz w:val="22"/>
            <w:szCs w:val="22"/>
          </w:rPr>
          <w:t xml:space="preserve">- </w:t>
        </w:r>
        <w:r w:rsidRPr="002108B5">
          <w:rPr>
            <w:sz w:val="22"/>
            <w:szCs w:val="22"/>
          </w:rPr>
          <w:fldChar w:fldCharType="begin"/>
        </w:r>
        <w:r w:rsidRPr="002108B5">
          <w:rPr>
            <w:sz w:val="22"/>
            <w:szCs w:val="22"/>
          </w:rPr>
          <w:instrText xml:space="preserve"> PAGE   \* MERGEFORMAT </w:instrText>
        </w:r>
        <w:r w:rsidRPr="002108B5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98</w:t>
        </w:r>
        <w:r w:rsidRPr="002108B5">
          <w:rPr>
            <w:noProof/>
            <w:sz w:val="22"/>
            <w:szCs w:val="22"/>
          </w:rPr>
          <w:fldChar w:fldCharType="end"/>
        </w:r>
      </w:p>
    </w:sdtContent>
  </w:sdt>
  <w:p w:rsidR="001C52B6" w:rsidRDefault="009765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B5" w:rsidRPr="001C52B6" w:rsidRDefault="009765C7" w:rsidP="002108B5">
    <w:pPr>
      <w:pStyle w:val="a5"/>
      <w:jc w:val="right"/>
      <w:rPr>
        <w:sz w:val="22"/>
      </w:rPr>
    </w:pPr>
  </w:p>
  <w:p w:rsidR="00605CD2" w:rsidRDefault="009765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C7" w:rsidRDefault="009765C7" w:rsidP="00D04B5C">
      <w:pPr>
        <w:spacing w:after="0" w:line="240" w:lineRule="auto"/>
      </w:pPr>
      <w:r>
        <w:separator/>
      </w:r>
    </w:p>
  </w:footnote>
  <w:footnote w:type="continuationSeparator" w:id="0">
    <w:p w:rsidR="009765C7" w:rsidRDefault="009765C7" w:rsidP="00D0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B5" w:rsidRPr="006800A3" w:rsidRDefault="00D04B5C" w:rsidP="00FE67B5">
    <w:pPr>
      <w:pStyle w:val="a3"/>
      <w:pBdr>
        <w:bottom w:val="single" w:sz="4" w:space="1" w:color="auto"/>
      </w:pBdr>
      <w:jc w:val="right"/>
      <w:rPr>
        <w:lang w:eastAsia="zh-TW"/>
      </w:rPr>
    </w:pPr>
    <w:r w:rsidRPr="006364F3">
      <w:rPr>
        <w:sz w:val="22"/>
        <w:szCs w:val="22"/>
        <w:lang w:eastAsia="zh-TW"/>
      </w:rPr>
      <w:t>第四</w:t>
    </w:r>
    <w:r>
      <w:rPr>
        <w:sz w:val="22"/>
        <w:szCs w:val="22"/>
        <w:lang w:eastAsia="zh-TW"/>
      </w:rPr>
      <w:t>部份</w:t>
    </w:r>
    <w:r w:rsidRPr="006364F3">
      <w:rPr>
        <w:sz w:val="22"/>
        <w:szCs w:val="22"/>
        <w:lang w:eastAsia="zh-TW"/>
      </w:rPr>
      <w:t>：</w:t>
    </w:r>
    <w:r w:rsidRPr="006364F3">
      <w:rPr>
        <w:rFonts w:hint="eastAsia"/>
        <w:sz w:val="22"/>
        <w:szCs w:val="22"/>
        <w:lang w:eastAsia="zh-TW"/>
      </w:rPr>
      <w:t>博</w:t>
    </w:r>
    <w:proofErr w:type="gramStart"/>
    <w:r w:rsidRPr="006364F3">
      <w:rPr>
        <w:rFonts w:hint="eastAsia"/>
        <w:sz w:val="22"/>
        <w:szCs w:val="22"/>
        <w:lang w:eastAsia="zh-TW"/>
      </w:rPr>
      <w:t>彩承批及</w:t>
    </w:r>
    <w:r>
      <w:rPr>
        <w:rFonts w:hint="eastAsia"/>
        <w:sz w:val="22"/>
        <w:szCs w:val="22"/>
        <w:lang w:eastAsia="zh-TW"/>
      </w:rPr>
      <w:t>轉批</w:t>
    </w:r>
    <w:proofErr w:type="gramEnd"/>
    <w:r>
      <w:rPr>
        <w:rFonts w:hint="eastAsia"/>
        <w:sz w:val="22"/>
        <w:szCs w:val="22"/>
        <w:lang w:eastAsia="zh-TW"/>
      </w:rPr>
      <w:t>給合同</w:t>
    </w:r>
    <w:r w:rsidRPr="006364F3">
      <w:rPr>
        <w:rFonts w:hint="eastAsia"/>
        <w:sz w:val="22"/>
        <w:szCs w:val="22"/>
        <w:lang w:eastAsia="zh-TW"/>
      </w:rPr>
      <w:t>內容回顧</w:t>
    </w:r>
  </w:p>
  <w:p w:rsidR="00FE67B5" w:rsidRDefault="009765C7">
    <w:pPr>
      <w:pStyle w:val="a3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5C"/>
    <w:rsid w:val="007F7CEE"/>
    <w:rsid w:val="009765C7"/>
    <w:rsid w:val="00D04B5C"/>
    <w:rsid w:val="00E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5C"/>
    <w:pPr>
      <w:spacing w:after="200" w:line="276" w:lineRule="auto"/>
    </w:pPr>
    <w:rPr>
      <w:rFonts w:ascii="微軟正黑體" w:eastAsia="微軟正黑體" w:hAnsi="微軟正黑體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B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D04B5C"/>
    <w:rPr>
      <w:rFonts w:ascii="微軟正黑體" w:eastAsia="微軟正黑體" w:hAnsi="微軟正黑體"/>
      <w:kern w:val="0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04B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D04B5C"/>
    <w:rPr>
      <w:rFonts w:ascii="微軟正黑體" w:eastAsia="微軟正黑體" w:hAnsi="微軟正黑體"/>
      <w:kern w:val="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5C"/>
    <w:pPr>
      <w:spacing w:after="200" w:line="276" w:lineRule="auto"/>
    </w:pPr>
    <w:rPr>
      <w:rFonts w:ascii="微軟正黑體" w:eastAsia="微軟正黑體" w:hAnsi="微軟正黑體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B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D04B5C"/>
    <w:rPr>
      <w:rFonts w:ascii="微軟正黑體" w:eastAsia="微軟正黑體" w:hAnsi="微軟正黑體"/>
      <w:kern w:val="0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04B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D04B5C"/>
    <w:rPr>
      <w:rFonts w:ascii="微軟正黑體" w:eastAsia="微軟正黑體" w:hAnsi="微軟正黑體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j.gov.mo/web/cn/contract/Wynn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cj.gov.mo/web/cn/contract/SJM/index.html" TargetMode="External"/><Relationship Id="rId12" Type="http://schemas.openxmlformats.org/officeDocument/2006/relationships/hyperlink" Target="http://www.dicj.gov.mo/web/files/contract/Melco%20contract%203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icj.gov.mo/web/files/contract/MGM%20contract%20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dicj.gov.mo/web/files/contract/VML%20contract%2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cj.gov.mo/web/cn/contract/Galaxy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 ChristineLei</dc:creator>
  <cp:lastModifiedBy>SEF ChristineLei</cp:lastModifiedBy>
  <cp:revision>2</cp:revision>
  <dcterms:created xsi:type="dcterms:W3CDTF">2016-05-10T04:38:00Z</dcterms:created>
  <dcterms:modified xsi:type="dcterms:W3CDTF">2016-05-10T04:38:00Z</dcterms:modified>
</cp:coreProperties>
</file>