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drawings/drawing2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154" w:rsidRPr="003E7841" w:rsidRDefault="00C77154" w:rsidP="00C77154">
      <w:pPr>
        <w:pStyle w:val="Web"/>
        <w:jc w:val="right"/>
        <w:rPr>
          <w:rFonts w:ascii="Times New Roman" w:hAnsi="Times New Roman" w:cs="Times New Roman"/>
          <w:lang w:val="pt-PT"/>
        </w:rPr>
      </w:pPr>
      <w:bookmarkStart w:id="0" w:name="_GoBack"/>
      <w:bookmarkEnd w:id="0"/>
      <w:r w:rsidRPr="003E7841">
        <w:rPr>
          <w:rFonts w:ascii="Times New Roman" w:cs="Times New Roman"/>
          <w:b/>
          <w:color w:val="000000"/>
          <w:kern w:val="2"/>
        </w:rPr>
        <w:t>發稿日期：</w:t>
      </w:r>
      <w:r w:rsidR="006271F2">
        <w:rPr>
          <w:rFonts w:ascii="Times New Roman" w:cs="Times New Roman"/>
          <w:b/>
          <w:color w:val="000000"/>
          <w:kern w:val="2"/>
        </w:rPr>
        <w:t>2018</w:t>
      </w:r>
      <w:r>
        <w:rPr>
          <w:rFonts w:ascii="Times New Roman" w:cs="Times New Roman" w:hint="eastAsia"/>
          <w:b/>
          <w:color w:val="000000"/>
          <w:kern w:val="2"/>
        </w:rPr>
        <w:t>年</w:t>
      </w:r>
      <w:r w:rsidR="006271F2">
        <w:rPr>
          <w:rFonts w:ascii="Times New Roman" w:cs="Times New Roman"/>
          <w:b/>
          <w:color w:val="000000"/>
          <w:kern w:val="2"/>
        </w:rPr>
        <w:t>9</w:t>
      </w:r>
      <w:r>
        <w:rPr>
          <w:rFonts w:ascii="Times New Roman" w:cs="Times New Roman" w:hint="eastAsia"/>
          <w:b/>
          <w:color w:val="000000"/>
          <w:kern w:val="2"/>
        </w:rPr>
        <w:t>月</w:t>
      </w:r>
      <w:r w:rsidR="006271F2">
        <w:rPr>
          <w:rFonts w:ascii="Times New Roman" w:cs="Times New Roman"/>
          <w:b/>
          <w:color w:val="000000"/>
          <w:kern w:val="2"/>
        </w:rPr>
        <w:t>26</w:t>
      </w:r>
      <w:r>
        <w:rPr>
          <w:rFonts w:ascii="Times New Roman" w:cs="Times New Roman" w:hint="eastAsia"/>
          <w:b/>
          <w:color w:val="000000"/>
          <w:kern w:val="2"/>
        </w:rPr>
        <w:t>日</w:t>
      </w:r>
    </w:p>
    <w:p w:rsidR="00C77154" w:rsidRPr="003E7841" w:rsidRDefault="00C77154" w:rsidP="00C77154">
      <w:pPr>
        <w:pStyle w:val="Web"/>
        <w:rPr>
          <w:rFonts w:ascii="Times New Roman" w:hAnsi="Times New Roman" w:cs="Times New Roman"/>
          <w:lang w:val="pt-PT"/>
        </w:rPr>
      </w:pPr>
      <w:r w:rsidRPr="003E7841">
        <w:rPr>
          <w:rFonts w:ascii="Times New Roman" w:cs="Times New Roman"/>
          <w:lang w:val="pt-PT"/>
        </w:rPr>
        <w:t>請惠賜篇幅刊登</w:t>
      </w:r>
    </w:p>
    <w:p w:rsidR="00C77154" w:rsidRDefault="00C77154" w:rsidP="00C77154">
      <w:pPr>
        <w:jc w:val="center"/>
        <w:textAlignment w:val="baseline"/>
        <w:rPr>
          <w:rFonts w:hAnsi="新細明體"/>
          <w:b/>
          <w:kern w:val="0"/>
          <w:szCs w:val="24"/>
        </w:rPr>
      </w:pPr>
      <w:r>
        <w:rPr>
          <w:rFonts w:hAnsi="新細明體" w:hint="eastAsia"/>
          <w:b/>
          <w:kern w:val="0"/>
          <w:szCs w:val="24"/>
          <w:lang w:val="pt-PT"/>
        </w:rPr>
        <w:t>新聞</w:t>
      </w:r>
      <w:r>
        <w:rPr>
          <w:rFonts w:hAnsi="新細明體" w:hint="eastAsia"/>
          <w:b/>
          <w:kern w:val="0"/>
          <w:szCs w:val="24"/>
        </w:rPr>
        <w:t>稿</w:t>
      </w:r>
    </w:p>
    <w:p w:rsidR="00C77154" w:rsidRPr="00693449" w:rsidRDefault="00CB1799" w:rsidP="00C77154">
      <w:pPr>
        <w:jc w:val="center"/>
        <w:textAlignment w:val="baseline"/>
        <w:rPr>
          <w:rFonts w:hAnsi="新細明體"/>
          <w:b/>
          <w:kern w:val="0"/>
          <w:szCs w:val="24"/>
          <w:lang w:val="pt-PT"/>
        </w:rPr>
      </w:pPr>
      <w:r w:rsidRPr="00CB1799">
        <w:rPr>
          <w:rFonts w:hAnsi="新細明體" w:hint="eastAsia"/>
          <w:b/>
          <w:kern w:val="0"/>
          <w:szCs w:val="24"/>
          <w:lang w:val="pt-PT"/>
        </w:rPr>
        <w:t>澳大公佈</w:t>
      </w:r>
      <w:r w:rsidR="00054DD4">
        <w:rPr>
          <w:rFonts w:hAnsi="新細明體" w:hint="eastAsia"/>
          <w:b/>
          <w:kern w:val="0"/>
          <w:szCs w:val="24"/>
          <w:lang w:val="pt-PT"/>
        </w:rPr>
        <w:t>201</w:t>
      </w:r>
      <w:r w:rsidR="00B20D14">
        <w:rPr>
          <w:rFonts w:hAnsi="新細明體"/>
          <w:b/>
          <w:kern w:val="0"/>
          <w:szCs w:val="24"/>
          <w:lang w:val="pt-PT"/>
        </w:rPr>
        <w:t>8-2019</w:t>
      </w:r>
      <w:r w:rsidRPr="00CB1799">
        <w:rPr>
          <w:rFonts w:hAnsi="新細明體" w:hint="eastAsia"/>
          <w:b/>
          <w:kern w:val="0"/>
          <w:szCs w:val="24"/>
          <w:lang w:val="pt-PT"/>
        </w:rPr>
        <w:t>年</w:t>
      </w:r>
      <w:r w:rsidR="003019FC" w:rsidRPr="003019FC">
        <w:rPr>
          <w:rFonts w:hAnsi="新細明體" w:hint="eastAsia"/>
          <w:b/>
          <w:kern w:val="0"/>
          <w:szCs w:val="24"/>
          <w:lang w:val="pt-PT"/>
        </w:rPr>
        <w:t>澳門</w:t>
      </w:r>
      <w:r w:rsidRPr="00CB1799">
        <w:rPr>
          <w:rFonts w:hAnsi="新細明體" w:hint="eastAsia"/>
          <w:b/>
          <w:kern w:val="0"/>
          <w:szCs w:val="24"/>
          <w:lang w:val="pt-PT"/>
        </w:rPr>
        <w:t>宏觀經濟預測</w:t>
      </w:r>
    </w:p>
    <w:p w:rsidR="00C77154" w:rsidRDefault="00C77154" w:rsidP="00CB1799">
      <w:pPr>
        <w:jc w:val="both"/>
        <w:textAlignment w:val="baseline"/>
        <w:rPr>
          <w:kern w:val="0"/>
          <w:szCs w:val="24"/>
          <w:lang w:val="pt-PT"/>
        </w:rPr>
      </w:pPr>
    </w:p>
    <w:p w:rsidR="00575014" w:rsidRDefault="00CB1799" w:rsidP="00575014">
      <w:pPr>
        <w:adjustRightInd w:val="0"/>
        <w:snapToGrid w:val="0"/>
        <w:spacing w:line="320" w:lineRule="exact"/>
        <w:jc w:val="both"/>
        <w:textAlignment w:val="baseline"/>
        <w:rPr>
          <w:kern w:val="0"/>
          <w:szCs w:val="24"/>
        </w:rPr>
      </w:pPr>
      <w:r w:rsidRPr="00CB1799">
        <w:rPr>
          <w:kern w:val="0"/>
          <w:szCs w:val="24"/>
        </w:rPr>
        <w:t>澳門大學經濟</w:t>
      </w:r>
      <w:r w:rsidRPr="00CB1799">
        <w:rPr>
          <w:rFonts w:hint="eastAsia"/>
          <w:kern w:val="0"/>
          <w:szCs w:val="24"/>
        </w:rPr>
        <w:t>學</w:t>
      </w:r>
      <w:r w:rsidRPr="00CB1799">
        <w:rPr>
          <w:kern w:val="0"/>
          <w:szCs w:val="24"/>
        </w:rPr>
        <w:t>系</w:t>
      </w:r>
      <w:r w:rsidR="007D09DF" w:rsidRPr="002E57DB">
        <w:rPr>
          <w:rFonts w:hint="eastAsia"/>
          <w:kern w:val="0"/>
          <w:szCs w:val="24"/>
        </w:rPr>
        <w:t>及澳門研究中心</w:t>
      </w:r>
      <w:r w:rsidRPr="003D3668">
        <w:rPr>
          <w:rFonts w:hint="eastAsia"/>
        </w:rPr>
        <w:t>今</w:t>
      </w:r>
      <w:r w:rsidR="00582774">
        <w:rPr>
          <w:rFonts w:hint="eastAsia"/>
          <w:kern w:val="0"/>
          <w:szCs w:val="24"/>
          <w:lang w:val="pt-PT"/>
        </w:rPr>
        <w:t>（</w:t>
      </w:r>
      <w:r w:rsidR="00582774">
        <w:rPr>
          <w:rFonts w:hint="eastAsia"/>
          <w:kern w:val="0"/>
          <w:szCs w:val="24"/>
          <w:lang w:val="pt-PT"/>
        </w:rPr>
        <w:t>26</w:t>
      </w:r>
      <w:r w:rsidR="00582774">
        <w:rPr>
          <w:rFonts w:hint="eastAsia"/>
          <w:kern w:val="0"/>
          <w:szCs w:val="24"/>
          <w:lang w:val="pt-PT"/>
        </w:rPr>
        <w:t>）</w:t>
      </w:r>
      <w:r w:rsidR="00582774">
        <w:rPr>
          <w:rFonts w:hint="eastAsia"/>
          <w:kern w:val="0"/>
          <w:szCs w:val="24"/>
          <w:lang w:val="pt-PT" w:eastAsia="zh-HK"/>
        </w:rPr>
        <w:t>日</w:t>
      </w:r>
      <w:r w:rsidRPr="00CB1799">
        <w:rPr>
          <w:rFonts w:hint="eastAsia"/>
          <w:kern w:val="0"/>
          <w:szCs w:val="24"/>
        </w:rPr>
        <w:t>公佈</w:t>
      </w:r>
      <w:r w:rsidR="00125508" w:rsidRPr="00CB1799">
        <w:rPr>
          <w:kern w:val="0"/>
          <w:szCs w:val="24"/>
        </w:rPr>
        <w:t>201</w:t>
      </w:r>
      <w:r w:rsidR="00125508">
        <w:rPr>
          <w:kern w:val="0"/>
          <w:szCs w:val="24"/>
        </w:rPr>
        <w:t>8-2019</w:t>
      </w:r>
      <w:r w:rsidRPr="00CB1799">
        <w:rPr>
          <w:rFonts w:hint="eastAsia"/>
          <w:kern w:val="0"/>
          <w:szCs w:val="24"/>
        </w:rPr>
        <w:t>年</w:t>
      </w:r>
      <w:r w:rsidRPr="00CB1799">
        <w:rPr>
          <w:kern w:val="0"/>
          <w:szCs w:val="24"/>
        </w:rPr>
        <w:t>澳門宏觀</w:t>
      </w:r>
      <w:r w:rsidRPr="00CB1799">
        <w:rPr>
          <w:rFonts w:hint="eastAsia"/>
          <w:kern w:val="0"/>
          <w:szCs w:val="24"/>
        </w:rPr>
        <w:t>經濟</w:t>
      </w:r>
      <w:r w:rsidRPr="00CB1799">
        <w:rPr>
          <w:kern w:val="0"/>
          <w:szCs w:val="24"/>
          <w:lang w:val="en-GB"/>
        </w:rPr>
        <w:t>預測</w:t>
      </w:r>
      <w:r w:rsidRPr="00CB1799">
        <w:rPr>
          <w:rFonts w:hint="eastAsia"/>
          <w:kern w:val="0"/>
          <w:szCs w:val="24"/>
        </w:rPr>
        <w:t>。統計數據顯示，</w:t>
      </w:r>
      <w:r w:rsidR="00DA49D0" w:rsidRPr="00117744">
        <w:rPr>
          <w:rFonts w:hint="eastAsia"/>
          <w:bCs/>
        </w:rPr>
        <w:t>澳門</w:t>
      </w:r>
      <w:r w:rsidR="00DA49D0">
        <w:rPr>
          <w:rFonts w:hint="eastAsia"/>
          <w:bCs/>
        </w:rPr>
        <w:t>經濟</w:t>
      </w:r>
      <w:r w:rsidR="00DA49D0" w:rsidRPr="00117744">
        <w:rPr>
          <w:bCs/>
        </w:rPr>
        <w:t>顯</w:t>
      </w:r>
      <w:r w:rsidR="00DA49D0" w:rsidRPr="00117744">
        <w:rPr>
          <w:rFonts w:hint="eastAsia"/>
          <w:bCs/>
        </w:rPr>
        <w:t>著</w:t>
      </w:r>
      <w:r w:rsidR="00DA49D0">
        <w:rPr>
          <w:rFonts w:hint="eastAsia"/>
          <w:bCs/>
        </w:rPr>
        <w:t>復甦</w:t>
      </w:r>
      <w:r w:rsidR="00DA49D0" w:rsidRPr="00672014">
        <w:rPr>
          <w:rFonts w:hint="eastAsia"/>
          <w:bCs/>
        </w:rPr>
        <w:t>，本</w:t>
      </w:r>
      <w:r w:rsidR="00DA49D0">
        <w:rPr>
          <w:rFonts w:ascii="新細明體" w:hAnsi="新細明體" w:cs="新細明體" w:hint="eastAsia"/>
        </w:rPr>
        <w:t>地生產總值在</w:t>
      </w:r>
      <w:r w:rsidR="00DA49D0">
        <w:rPr>
          <w:rFonts w:hint="eastAsia"/>
        </w:rPr>
        <w:t>201</w:t>
      </w:r>
      <w:r w:rsidR="00DA49D0">
        <w:t>7</w:t>
      </w:r>
      <w:r w:rsidR="00DA49D0">
        <w:rPr>
          <w:rFonts w:ascii="新細明體" w:hAnsi="新細明體" w:cs="新細明體" w:hint="eastAsia"/>
        </w:rPr>
        <w:t>年增長</w:t>
      </w:r>
      <w:r w:rsidR="00DA49D0">
        <w:t>9</w:t>
      </w:r>
      <w:r w:rsidR="00DA49D0">
        <w:rPr>
          <w:rFonts w:hint="eastAsia"/>
        </w:rPr>
        <w:t>.</w:t>
      </w:r>
      <w:r w:rsidR="00DA49D0">
        <w:t>1</w:t>
      </w:r>
      <w:r w:rsidR="00DA49D0">
        <w:rPr>
          <w:rFonts w:hint="eastAsia"/>
        </w:rPr>
        <w:t>%</w:t>
      </w:r>
      <w:r w:rsidR="00DA49D0">
        <w:rPr>
          <w:rFonts w:ascii="新細明體" w:hAnsi="新細明體" w:cs="新細明體" w:hint="eastAsia"/>
        </w:rPr>
        <w:t>，</w:t>
      </w:r>
      <w:r w:rsidR="00DA49D0">
        <w:rPr>
          <w:rFonts w:cs="新細明體" w:hint="eastAsia"/>
        </w:rPr>
        <w:t>至</w:t>
      </w:r>
      <w:r w:rsidR="00DA49D0">
        <w:t>3,952</w:t>
      </w:r>
      <w:r w:rsidR="00DA49D0">
        <w:rPr>
          <w:rFonts w:ascii="新細明體" w:hAnsi="新細明體" w:cs="新細明體" w:hint="eastAsia"/>
        </w:rPr>
        <w:t>億澳門元。</w:t>
      </w:r>
      <w:r w:rsidR="00575014">
        <w:rPr>
          <w:rFonts w:ascii="新細明體" w:hAnsi="新細明體" w:cs="新細明體" w:hint="eastAsia"/>
          <w:lang w:eastAsia="zh-HK"/>
        </w:rPr>
        <w:t>研</w:t>
      </w:r>
      <w:r w:rsidR="00575014">
        <w:rPr>
          <w:rFonts w:ascii="新細明體" w:hAnsi="新細明體" w:cs="新細明體" w:hint="eastAsia"/>
        </w:rPr>
        <w:t>究</w:t>
      </w:r>
      <w:r w:rsidR="00575014">
        <w:rPr>
          <w:rFonts w:ascii="新細明體" w:hAnsi="新細明體" w:cs="新細明體" w:hint="eastAsia"/>
          <w:lang w:eastAsia="zh-HK"/>
        </w:rPr>
        <w:t>團</w:t>
      </w:r>
      <w:r w:rsidR="00575014">
        <w:rPr>
          <w:rFonts w:ascii="新細明體" w:hAnsi="新細明體" w:cs="新細明體" w:hint="eastAsia"/>
        </w:rPr>
        <w:t>隊</w:t>
      </w:r>
      <w:r w:rsidR="00575014">
        <w:rPr>
          <w:rFonts w:ascii="新細明體" w:hAnsi="新細明體" w:cs="新細明體" w:hint="eastAsia"/>
          <w:lang w:eastAsia="zh-HK"/>
        </w:rPr>
        <w:t>預</w:t>
      </w:r>
      <w:r w:rsidR="002D6930">
        <w:rPr>
          <w:rFonts w:ascii="新細明體" w:hAnsi="新細明體" w:cs="新細明體" w:hint="eastAsia"/>
          <w:lang w:eastAsia="zh-HK"/>
        </w:rPr>
        <w:t>測</w:t>
      </w:r>
      <w:r w:rsidR="00575014">
        <w:rPr>
          <w:rFonts w:ascii="新細明體" w:hAnsi="新細明體" w:cs="新細明體" w:hint="eastAsia"/>
        </w:rPr>
        <w:t>，</w:t>
      </w:r>
      <w:r w:rsidR="00575014">
        <w:t>2018</w:t>
      </w:r>
      <w:r w:rsidR="00575014">
        <w:rPr>
          <w:rFonts w:ascii="新細明體" w:hAnsi="新細明體" w:cs="新細明體" w:hint="eastAsia"/>
        </w:rPr>
        <w:t>年澳門本地生產總值預計增長</w:t>
      </w:r>
      <w:r w:rsidR="00575014">
        <w:rPr>
          <w:rFonts w:hint="eastAsia"/>
        </w:rPr>
        <w:t>8.3</w:t>
      </w:r>
      <w:r w:rsidR="00575014">
        <w:t>%</w:t>
      </w:r>
      <w:r w:rsidR="00575014">
        <w:rPr>
          <w:rFonts w:ascii="新細明體" w:hAnsi="新細明體" w:cs="新細明體" w:hint="eastAsia"/>
        </w:rPr>
        <w:t>，而</w:t>
      </w:r>
      <w:r w:rsidR="00575014">
        <w:t>2019</w:t>
      </w:r>
      <w:r w:rsidR="00575014">
        <w:rPr>
          <w:rFonts w:ascii="新細明體" w:hAnsi="新細明體" w:cs="新細明體" w:hint="eastAsia"/>
        </w:rPr>
        <w:t>年預計增長</w:t>
      </w:r>
      <w:r w:rsidR="00575014">
        <w:rPr>
          <w:rFonts w:hint="eastAsia"/>
        </w:rPr>
        <w:t>7.1</w:t>
      </w:r>
      <w:r w:rsidR="00575014">
        <w:t>%</w:t>
      </w:r>
      <w:r w:rsidR="00575014">
        <w:rPr>
          <w:rFonts w:ascii="新細明體" w:hAnsi="新細明體" w:cs="新細明體" w:hint="eastAsia"/>
        </w:rPr>
        <w:t>。</w:t>
      </w:r>
      <w:r w:rsidR="00575014">
        <w:rPr>
          <w:rFonts w:ascii="新細明體" w:hAnsi="新細明體" w:cs="新細明體" w:hint="eastAsia"/>
          <w:lang w:eastAsia="zh-HK"/>
        </w:rPr>
        <w:t>不過</w:t>
      </w:r>
      <w:r w:rsidR="00575014">
        <w:rPr>
          <w:rFonts w:ascii="新細明體" w:hAnsi="新細明體" w:cs="新細明體" w:hint="eastAsia"/>
        </w:rPr>
        <w:t>，基於服務出口深受</w:t>
      </w:r>
      <w:r w:rsidR="00575014" w:rsidRPr="00134EE9">
        <w:rPr>
          <w:rFonts w:ascii="新細明體" w:hAnsi="新細明體" w:cs="新細明體" w:hint="eastAsia"/>
        </w:rPr>
        <w:t>外圍</w:t>
      </w:r>
      <w:r w:rsidR="00575014">
        <w:rPr>
          <w:rFonts w:ascii="新細明體" w:hAnsi="新細明體" w:cs="新細明體" w:hint="eastAsia"/>
        </w:rPr>
        <w:t>經濟</w:t>
      </w:r>
      <w:r w:rsidR="00575014" w:rsidRPr="00134EE9">
        <w:rPr>
          <w:rFonts w:ascii="新細明體" w:hAnsi="新細明體" w:cs="新細明體" w:hint="eastAsia"/>
        </w:rPr>
        <w:t>因素</w:t>
      </w:r>
      <w:r w:rsidR="00575014" w:rsidRPr="00A20F0A">
        <w:rPr>
          <w:rFonts w:ascii="新細明體" w:hAnsi="新細明體" w:cs="新細明體" w:hint="eastAsia"/>
        </w:rPr>
        <w:t>及</w:t>
      </w:r>
      <w:r w:rsidR="00575014">
        <w:rPr>
          <w:rFonts w:ascii="新細明體" w:hAnsi="新細明體" w:cs="新細明體" w:hint="eastAsia"/>
        </w:rPr>
        <w:t>政策影響，</w:t>
      </w:r>
      <w:r w:rsidR="00575014">
        <w:rPr>
          <w:rFonts w:ascii="新細明體" w:hAnsi="新細明體" w:cs="新細明體" w:hint="eastAsia"/>
          <w:lang w:eastAsia="zh-HK"/>
        </w:rPr>
        <w:t>澳門的</w:t>
      </w:r>
      <w:r w:rsidR="00575014">
        <w:rPr>
          <w:rFonts w:ascii="新細明體" w:hAnsi="新細明體" w:cs="新細明體" w:hint="eastAsia"/>
        </w:rPr>
        <w:t>本地生產總值短期可能出現較大波動，研究團隊將會</w:t>
      </w:r>
      <w:r w:rsidR="00575014" w:rsidRPr="00134EE9">
        <w:rPr>
          <w:rFonts w:ascii="新細明體" w:hAnsi="新細明體" w:cs="新細明體" w:hint="eastAsia"/>
        </w:rPr>
        <w:t>定期</w:t>
      </w:r>
      <w:r w:rsidR="00575014">
        <w:rPr>
          <w:rFonts w:ascii="新細明體" w:hAnsi="新細明體" w:cs="新細明體" w:hint="eastAsia"/>
        </w:rPr>
        <w:t>以最新數據更新預測</w:t>
      </w:r>
      <w:r w:rsidR="00575014" w:rsidRPr="00CB1799">
        <w:rPr>
          <w:rFonts w:hint="eastAsia"/>
          <w:kern w:val="0"/>
          <w:szCs w:val="24"/>
        </w:rPr>
        <w:t>。</w:t>
      </w:r>
    </w:p>
    <w:p w:rsidR="00CB1799" w:rsidRDefault="00CB1799" w:rsidP="00CB1799">
      <w:pPr>
        <w:jc w:val="both"/>
        <w:textAlignment w:val="baseline"/>
        <w:rPr>
          <w:kern w:val="0"/>
          <w:szCs w:val="24"/>
        </w:rPr>
      </w:pPr>
    </w:p>
    <w:p w:rsidR="00CB1799" w:rsidRPr="00CB1799" w:rsidRDefault="00CB1799" w:rsidP="00CB1799">
      <w:pPr>
        <w:jc w:val="both"/>
        <w:textAlignment w:val="baseline"/>
        <w:rPr>
          <w:kern w:val="0"/>
          <w:szCs w:val="24"/>
        </w:rPr>
      </w:pPr>
    </w:p>
    <w:p w:rsidR="00CB1799" w:rsidRPr="00CB1799" w:rsidRDefault="00550980" w:rsidP="00CB1799">
      <w:pPr>
        <w:jc w:val="both"/>
        <w:textAlignment w:val="baseline"/>
        <w:rPr>
          <w:kern w:val="0"/>
          <w:szCs w:val="24"/>
          <w:lang w:val="en-GB"/>
        </w:rPr>
      </w:pPr>
      <w:bookmarkStart w:id="1" w:name="_Hlk500156721"/>
      <w:r>
        <w:rPr>
          <w:noProof/>
        </w:rPr>
        <w:drawing>
          <wp:inline distT="0" distB="0" distL="0" distR="0">
            <wp:extent cx="5400040" cy="4778949"/>
            <wp:effectExtent l="0" t="0" r="10160" b="22225"/>
            <wp:docPr id="6" name="圖表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End w:id="1"/>
    </w:p>
    <w:p w:rsidR="00CB1799" w:rsidRPr="00CB1799" w:rsidRDefault="00CB1799" w:rsidP="00CB1799">
      <w:pPr>
        <w:jc w:val="both"/>
        <w:textAlignment w:val="baseline"/>
        <w:rPr>
          <w:b/>
          <w:kern w:val="0"/>
          <w:szCs w:val="24"/>
          <w:u w:val="single"/>
          <w:lang w:val="en-GB"/>
        </w:rPr>
      </w:pPr>
      <w:bookmarkStart w:id="2" w:name="_1511873461"/>
      <w:bookmarkStart w:id="3" w:name="_1511873441"/>
      <w:bookmarkStart w:id="4" w:name="_1511873256"/>
      <w:bookmarkStart w:id="5" w:name="_1511873546"/>
      <w:bookmarkStart w:id="6" w:name="_1511873467"/>
      <w:bookmarkStart w:id="7" w:name="_1511873430"/>
      <w:bookmarkEnd w:id="2"/>
      <w:bookmarkEnd w:id="3"/>
      <w:bookmarkEnd w:id="4"/>
      <w:bookmarkEnd w:id="5"/>
      <w:bookmarkEnd w:id="6"/>
      <w:bookmarkEnd w:id="7"/>
    </w:p>
    <w:p w:rsidR="00CB1799" w:rsidRDefault="00CB1799" w:rsidP="00CB1799">
      <w:pPr>
        <w:jc w:val="both"/>
        <w:textAlignment w:val="baseline"/>
        <w:rPr>
          <w:b/>
          <w:kern w:val="0"/>
          <w:szCs w:val="24"/>
          <w:u w:val="single"/>
          <w:lang w:val="en-GB"/>
        </w:rPr>
      </w:pPr>
    </w:p>
    <w:p w:rsidR="00E44056" w:rsidRDefault="00E44056" w:rsidP="00CB1799">
      <w:pPr>
        <w:jc w:val="both"/>
        <w:textAlignment w:val="baseline"/>
        <w:rPr>
          <w:b/>
          <w:kern w:val="0"/>
          <w:szCs w:val="24"/>
          <w:u w:val="single"/>
          <w:lang w:val="en-GB"/>
        </w:rPr>
      </w:pPr>
      <w:bookmarkStart w:id="8" w:name="_Hlk500157099"/>
      <w:r>
        <w:rPr>
          <w:noProof/>
        </w:rPr>
        <w:drawing>
          <wp:inline distT="0" distB="0" distL="0" distR="0">
            <wp:extent cx="5400675" cy="4972050"/>
            <wp:effectExtent l="0" t="0" r="9525" b="19050"/>
            <wp:docPr id="13" name="圖表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End w:id="8"/>
    </w:p>
    <w:p w:rsidR="00D82369" w:rsidRDefault="00D82369" w:rsidP="00CB1799">
      <w:pPr>
        <w:adjustRightInd w:val="0"/>
        <w:snapToGrid w:val="0"/>
        <w:spacing w:line="320" w:lineRule="exact"/>
        <w:jc w:val="both"/>
        <w:textAlignment w:val="baseline"/>
        <w:rPr>
          <w:b/>
          <w:kern w:val="0"/>
          <w:szCs w:val="24"/>
          <w:u w:val="single"/>
          <w:lang w:val="en-GB"/>
        </w:rPr>
      </w:pPr>
    </w:p>
    <w:p w:rsidR="00CB1799" w:rsidRPr="002E57DB" w:rsidRDefault="006427E4" w:rsidP="00CB1799">
      <w:pPr>
        <w:adjustRightInd w:val="0"/>
        <w:snapToGrid w:val="0"/>
        <w:spacing w:line="320" w:lineRule="exact"/>
        <w:jc w:val="both"/>
        <w:textAlignment w:val="baseline"/>
        <w:rPr>
          <w:b/>
          <w:kern w:val="0"/>
          <w:szCs w:val="24"/>
          <w:u w:val="single"/>
          <w:lang w:val="en-GB"/>
        </w:rPr>
      </w:pPr>
      <w:r w:rsidRPr="002E57DB">
        <w:rPr>
          <w:rFonts w:hint="eastAsia"/>
          <w:b/>
          <w:kern w:val="0"/>
          <w:szCs w:val="24"/>
          <w:u w:val="single"/>
          <w:lang w:val="en-GB"/>
        </w:rPr>
        <w:t>最</w:t>
      </w:r>
      <w:r w:rsidR="00D82369" w:rsidRPr="00D82369">
        <w:rPr>
          <w:rFonts w:hint="eastAsia"/>
          <w:b/>
          <w:kern w:val="0"/>
          <w:szCs w:val="24"/>
          <w:u w:val="single"/>
          <w:lang w:val="en-GB"/>
        </w:rPr>
        <w:t>近</w:t>
      </w:r>
      <w:r w:rsidR="00D82369" w:rsidRPr="002E57DB">
        <w:rPr>
          <w:rFonts w:hint="eastAsia"/>
          <w:b/>
          <w:kern w:val="0"/>
          <w:szCs w:val="24"/>
          <w:u w:val="single"/>
          <w:lang w:val="en-GB"/>
        </w:rPr>
        <w:t>澳門</w:t>
      </w:r>
      <w:r w:rsidR="00CB1799" w:rsidRPr="00CB1799">
        <w:rPr>
          <w:rFonts w:hint="eastAsia"/>
          <w:b/>
          <w:kern w:val="0"/>
          <w:szCs w:val="24"/>
          <w:u w:val="single"/>
          <w:lang w:val="en-GB"/>
        </w:rPr>
        <w:t>宏觀經濟</w:t>
      </w:r>
      <w:r w:rsidR="00D82369" w:rsidRPr="002E57DB">
        <w:rPr>
          <w:rFonts w:hint="eastAsia"/>
          <w:b/>
          <w:kern w:val="0"/>
          <w:szCs w:val="24"/>
          <w:u w:val="single"/>
          <w:lang w:val="en-GB"/>
        </w:rPr>
        <w:t>情況</w:t>
      </w:r>
    </w:p>
    <w:p w:rsidR="00CB1799" w:rsidRDefault="00CB1799" w:rsidP="00CB1799">
      <w:pPr>
        <w:adjustRightInd w:val="0"/>
        <w:snapToGrid w:val="0"/>
        <w:spacing w:line="320" w:lineRule="exact"/>
        <w:jc w:val="both"/>
        <w:textAlignment w:val="baseline"/>
        <w:rPr>
          <w:kern w:val="0"/>
          <w:szCs w:val="24"/>
          <w:lang w:val="en-GB"/>
        </w:rPr>
      </w:pPr>
      <w:r w:rsidRPr="00CB1799">
        <w:rPr>
          <w:rFonts w:hint="eastAsia"/>
          <w:kern w:val="0"/>
          <w:szCs w:val="24"/>
          <w:lang w:val="en-GB"/>
        </w:rPr>
        <w:t>澳</w:t>
      </w:r>
      <w:r w:rsidRPr="00CB1799">
        <w:rPr>
          <w:kern w:val="0"/>
          <w:szCs w:val="24"/>
          <w:lang w:val="en-GB"/>
        </w:rPr>
        <w:t>門</w:t>
      </w:r>
      <w:r w:rsidRPr="00CB1799">
        <w:rPr>
          <w:rFonts w:hint="eastAsia"/>
          <w:kern w:val="0"/>
          <w:szCs w:val="24"/>
          <w:lang w:val="en-GB"/>
        </w:rPr>
        <w:t>主要經濟環節最新的情況有如下特點</w:t>
      </w:r>
      <w:r w:rsidRPr="00CB1799">
        <w:rPr>
          <w:kern w:val="0"/>
          <w:szCs w:val="24"/>
          <w:lang w:val="en-GB"/>
        </w:rPr>
        <w:t>：</w:t>
      </w:r>
    </w:p>
    <w:p w:rsidR="00CB1799" w:rsidRPr="00CB1799" w:rsidRDefault="00CB1799" w:rsidP="00CB1799">
      <w:pPr>
        <w:adjustRightInd w:val="0"/>
        <w:snapToGrid w:val="0"/>
        <w:spacing w:line="320" w:lineRule="exact"/>
        <w:jc w:val="both"/>
        <w:textAlignment w:val="baseline"/>
        <w:rPr>
          <w:kern w:val="0"/>
          <w:szCs w:val="24"/>
          <w:lang w:val="en-GB"/>
        </w:rPr>
      </w:pPr>
    </w:p>
    <w:p w:rsidR="00F073F8" w:rsidRPr="002E57DB" w:rsidRDefault="00DA49D0" w:rsidP="00CB1799">
      <w:pPr>
        <w:numPr>
          <w:ilvl w:val="0"/>
          <w:numId w:val="4"/>
        </w:numPr>
        <w:adjustRightInd w:val="0"/>
        <w:snapToGrid w:val="0"/>
        <w:spacing w:line="320" w:lineRule="exact"/>
        <w:jc w:val="both"/>
        <w:textAlignment w:val="baseline"/>
        <w:rPr>
          <w:kern w:val="0"/>
          <w:szCs w:val="24"/>
          <w:lang w:val="en-GB"/>
        </w:rPr>
      </w:pPr>
      <w:bookmarkStart w:id="9" w:name="_Hlk517086356"/>
      <w:r>
        <w:rPr>
          <w:rFonts w:ascii="新細明體" w:hAnsi="新細明體" w:cs="新細明體" w:hint="eastAsia"/>
        </w:rPr>
        <w:t>澳門服務出口主要由中國大陸所帶動。隨</w:t>
      </w:r>
      <w:r>
        <w:rPr>
          <w:rFonts w:hint="eastAsia"/>
        </w:rPr>
        <w:t>着</w:t>
      </w:r>
      <w:r>
        <w:rPr>
          <w:rFonts w:ascii="新細明體" w:hAnsi="新細明體" w:cs="新細明體" w:hint="eastAsia"/>
        </w:rPr>
        <w:t>中國</w:t>
      </w:r>
      <w:r>
        <w:rPr>
          <w:rFonts w:hint="eastAsia"/>
          <w:bCs/>
        </w:rPr>
        <w:t>經濟</w:t>
      </w:r>
      <w:r w:rsidRPr="003D5E9B">
        <w:rPr>
          <w:rFonts w:hint="eastAsia"/>
        </w:rPr>
        <w:t>近</w:t>
      </w:r>
      <w:r w:rsidRPr="00A732BB">
        <w:rPr>
          <w:rFonts w:hint="eastAsia"/>
        </w:rPr>
        <w:t>期</w:t>
      </w:r>
      <w:r w:rsidRPr="003D5E9B">
        <w:rPr>
          <w:rFonts w:hint="eastAsia"/>
        </w:rPr>
        <w:t>穩步</w:t>
      </w:r>
      <w:r w:rsidRPr="007845D0">
        <w:rPr>
          <w:rFonts w:hint="eastAsia"/>
        </w:rPr>
        <w:t>發展</w:t>
      </w:r>
      <w:r>
        <w:rPr>
          <w:rFonts w:ascii="新細明體" w:hAnsi="新細明體" w:cs="新細明體" w:hint="eastAsia"/>
        </w:rPr>
        <w:t>，中國大陸旅客在澳門消費，尤其博彩活動，</w:t>
      </w:r>
      <w:r w:rsidRPr="003D5E9B">
        <w:rPr>
          <w:rFonts w:ascii="新細明體" w:hAnsi="新細明體" w:cs="新細明體" w:hint="eastAsia"/>
        </w:rPr>
        <w:t>急速</w:t>
      </w:r>
      <w:r w:rsidRPr="003D5E9B">
        <w:rPr>
          <w:rFonts w:hint="eastAsia"/>
        </w:rPr>
        <w:t>增長</w:t>
      </w:r>
      <w:r>
        <w:rPr>
          <w:rFonts w:ascii="新細明體" w:hAnsi="新細明體" w:cs="新細明體" w:hint="eastAsia"/>
        </w:rPr>
        <w:t>。</w:t>
      </w:r>
      <w:r>
        <w:rPr>
          <w:rFonts w:ascii="新細明體" w:hAnsi="新細明體" w:cs="新細明體" w:hint="eastAsia"/>
          <w:lang w:val="pt-PT"/>
        </w:rPr>
        <w:t>服務出口在</w:t>
      </w:r>
      <w:r>
        <w:rPr>
          <w:rFonts w:cs="新細明體" w:hint="eastAsia"/>
          <w:lang w:val="pt-PT"/>
        </w:rPr>
        <w:t>201</w:t>
      </w:r>
      <w:r>
        <w:rPr>
          <w:rFonts w:cs="新細明體"/>
          <w:lang w:val="pt-PT"/>
        </w:rPr>
        <w:t>8</w:t>
      </w:r>
      <w:r>
        <w:rPr>
          <w:rFonts w:ascii="新細明體" w:hAnsi="新細明體" w:cs="新細明體" w:hint="eastAsia"/>
          <w:lang w:val="pt-PT"/>
        </w:rPr>
        <w:t>年第</w:t>
      </w:r>
      <w:r>
        <w:rPr>
          <w:rFonts w:cs="新細明體"/>
          <w:lang w:val="pt-PT"/>
        </w:rPr>
        <w:t>2</w:t>
      </w:r>
      <w:r>
        <w:rPr>
          <w:rFonts w:ascii="新細明體" w:hAnsi="新細明體" w:cs="新細明體" w:hint="eastAsia"/>
          <w:lang w:val="pt-PT"/>
        </w:rPr>
        <w:t>季按年</w:t>
      </w:r>
      <w:r>
        <w:rPr>
          <w:rFonts w:ascii="新細明體" w:hAnsi="新細明體" w:cs="新細明體" w:hint="eastAsia"/>
        </w:rPr>
        <w:t>上升</w:t>
      </w:r>
      <w:r>
        <w:rPr>
          <w:rFonts w:cs="新細明體"/>
          <w:lang w:val="pt-PT"/>
        </w:rPr>
        <w:t>13</w:t>
      </w:r>
      <w:r>
        <w:rPr>
          <w:rFonts w:cs="新細明體" w:hint="eastAsia"/>
          <w:lang w:val="pt-PT"/>
        </w:rPr>
        <w:t>.</w:t>
      </w:r>
      <w:r>
        <w:rPr>
          <w:rFonts w:cs="新細明體"/>
          <w:lang w:val="pt-PT"/>
        </w:rPr>
        <w:t>0</w:t>
      </w:r>
      <w:r>
        <w:rPr>
          <w:rFonts w:cs="新細明體" w:hint="eastAsia"/>
          <w:lang w:val="pt-PT"/>
        </w:rPr>
        <w:t>%</w:t>
      </w:r>
      <w:r>
        <w:rPr>
          <w:rFonts w:cs="新細明體" w:hint="eastAsia"/>
        </w:rPr>
        <w:t>至</w:t>
      </w:r>
      <w:r>
        <w:rPr>
          <w:lang w:val="pt-PT"/>
        </w:rPr>
        <w:t>803</w:t>
      </w:r>
      <w:r>
        <w:rPr>
          <w:rFonts w:ascii="新細明體" w:hAnsi="新細明體" w:cs="新細明體" w:hint="eastAsia"/>
          <w:lang w:val="pt-PT"/>
        </w:rPr>
        <w:t>億澳門元，</w:t>
      </w:r>
      <w:r>
        <w:rPr>
          <w:rFonts w:ascii="新細明體" w:hAnsi="新細明體" w:cs="新細明體" w:hint="eastAsia"/>
        </w:rPr>
        <w:t>其中</w:t>
      </w:r>
      <w:proofErr w:type="gramStart"/>
      <w:r>
        <w:rPr>
          <w:rFonts w:ascii="新細明體" w:hAnsi="新細明體" w:cs="新細明體" w:hint="eastAsia"/>
        </w:rPr>
        <w:t>佔</w:t>
      </w:r>
      <w:proofErr w:type="gramEnd"/>
      <w:r>
        <w:rPr>
          <w:rFonts w:ascii="新細明體" w:hAnsi="新細明體" w:cs="新細明體" w:hint="eastAsia"/>
        </w:rPr>
        <w:t>服務出口最大部分的</w:t>
      </w:r>
      <w:proofErr w:type="gramStart"/>
      <w:r>
        <w:rPr>
          <w:rFonts w:ascii="新細明體" w:hAnsi="新細明體" w:cs="新細明體" w:hint="eastAsia"/>
        </w:rPr>
        <w:t>博彩業服務</w:t>
      </w:r>
      <w:proofErr w:type="gramEnd"/>
      <w:r>
        <w:rPr>
          <w:rFonts w:ascii="新細明體" w:hAnsi="新細明體" w:cs="新細明體" w:hint="eastAsia"/>
        </w:rPr>
        <w:t>按年上升</w:t>
      </w:r>
      <w:r>
        <w:t>13.7%</w:t>
      </w:r>
      <w:r>
        <w:rPr>
          <w:rFonts w:hint="eastAsia"/>
          <w:lang w:val="pt-PT"/>
        </w:rPr>
        <w:t>至</w:t>
      </w:r>
      <w:r>
        <w:rPr>
          <w:lang w:val="pt-PT"/>
        </w:rPr>
        <w:t>558</w:t>
      </w:r>
      <w:r>
        <w:rPr>
          <w:rFonts w:ascii="新細明體" w:hAnsi="新細明體" w:cs="新細明體" w:hint="eastAsia"/>
          <w:lang w:val="pt-PT"/>
        </w:rPr>
        <w:t>億澳門元</w:t>
      </w:r>
      <w:bookmarkEnd w:id="9"/>
      <w:r w:rsidR="00CB1799" w:rsidRPr="00CB1799">
        <w:rPr>
          <w:rFonts w:hint="eastAsia"/>
          <w:kern w:val="0"/>
          <w:szCs w:val="24"/>
        </w:rPr>
        <w:t>。</w:t>
      </w:r>
    </w:p>
    <w:p w:rsidR="00CB1799" w:rsidRPr="00CB1799" w:rsidRDefault="00DA49D0" w:rsidP="00CB1799">
      <w:pPr>
        <w:numPr>
          <w:ilvl w:val="0"/>
          <w:numId w:val="4"/>
        </w:numPr>
        <w:adjustRightInd w:val="0"/>
        <w:snapToGrid w:val="0"/>
        <w:spacing w:line="320" w:lineRule="exact"/>
        <w:jc w:val="both"/>
        <w:textAlignment w:val="baseline"/>
        <w:rPr>
          <w:kern w:val="0"/>
          <w:szCs w:val="24"/>
          <w:lang w:val="en-GB"/>
        </w:rPr>
      </w:pPr>
      <w:bookmarkStart w:id="10" w:name="_Hlk517086387"/>
      <w:r>
        <w:t>20</w:t>
      </w:r>
      <w:r>
        <w:rPr>
          <w:rFonts w:hint="eastAsia"/>
        </w:rPr>
        <w:t>1</w:t>
      </w:r>
      <w:r>
        <w:t>8</w:t>
      </w:r>
      <w:r>
        <w:rPr>
          <w:rFonts w:ascii="新細明體" w:hAnsi="新細明體" w:cs="新細明體" w:hint="eastAsia"/>
        </w:rPr>
        <w:t>年第</w:t>
      </w:r>
      <w:r>
        <w:t>2</w:t>
      </w:r>
      <w:r>
        <w:rPr>
          <w:rFonts w:ascii="新細明體" w:hAnsi="新細明體" w:cs="新細明體" w:hint="eastAsia"/>
        </w:rPr>
        <w:t>季博彩總收入為</w:t>
      </w:r>
      <w:r>
        <w:t>737</w:t>
      </w:r>
      <w:r>
        <w:rPr>
          <w:rFonts w:ascii="新細明體" w:hAnsi="新細明體" w:cs="新細明體" w:hint="eastAsia"/>
        </w:rPr>
        <w:t>億澳門元，按年上升</w:t>
      </w:r>
      <w:r>
        <w:t>17.2%</w:t>
      </w:r>
      <w:r>
        <w:rPr>
          <w:rFonts w:ascii="新細明體" w:hAnsi="新細明體" w:cs="新細明體" w:hint="eastAsia"/>
        </w:rPr>
        <w:t>，而按季</w:t>
      </w:r>
      <w:r>
        <w:rPr>
          <w:rFonts w:ascii="新細明體" w:hAnsi="新細明體" w:cs="DFKaiShu-SB-Estd-BF" w:hint="eastAsia"/>
        </w:rPr>
        <w:t>則</w:t>
      </w:r>
      <w:r w:rsidRPr="007E21D9">
        <w:rPr>
          <w:rFonts w:ascii="新細明體" w:hAnsi="新細明體" w:cs="新細明體" w:hint="eastAsia"/>
        </w:rPr>
        <w:t>下跌</w:t>
      </w:r>
      <w:r>
        <w:t>3.7%</w:t>
      </w:r>
      <w:r>
        <w:rPr>
          <w:rFonts w:ascii="新細明體" w:hAnsi="新細明體" w:cs="SimSun" w:hint="eastAsia"/>
        </w:rPr>
        <w:t>。</w:t>
      </w:r>
      <w:bookmarkEnd w:id="10"/>
      <w:r>
        <w:rPr>
          <w:rFonts w:ascii="新細明體" w:hAnsi="新細明體" w:cs="新細明體" w:hint="eastAsia"/>
        </w:rPr>
        <w:t>當中，</w:t>
      </w:r>
      <w:r>
        <w:rPr>
          <w:rFonts w:ascii="新細明體" w:hAnsi="新細明體" w:cs="SimSun" w:hint="eastAsia"/>
        </w:rPr>
        <w:t>貴賓廳百家樂收入為</w:t>
      </w:r>
      <w:r>
        <w:t>410</w:t>
      </w:r>
      <w:r>
        <w:rPr>
          <w:rFonts w:ascii="新細明體" w:hAnsi="新細明體" w:cs="SimSun" w:hint="eastAsia"/>
        </w:rPr>
        <w:t>億澳門元，</w:t>
      </w:r>
      <w:r>
        <w:rPr>
          <w:rFonts w:ascii="新細明體" w:hAnsi="新細明體" w:cs="新細明體" w:hint="eastAsia"/>
        </w:rPr>
        <w:t>按年上升</w:t>
      </w:r>
      <w:r>
        <w:t>14.4%</w:t>
      </w:r>
      <w:r>
        <w:rPr>
          <w:rFonts w:ascii="新細明體" w:hAnsi="新細明體" w:cs="DFKaiShu-SB-Estd-BF" w:hint="eastAsia"/>
        </w:rPr>
        <w:t>，而</w:t>
      </w:r>
      <w:r>
        <w:rPr>
          <w:rFonts w:ascii="新細明體" w:hAnsi="新細明體" w:cs="新細明體" w:hint="eastAsia"/>
        </w:rPr>
        <w:t>按季</w:t>
      </w:r>
      <w:r>
        <w:rPr>
          <w:rFonts w:ascii="新細明體" w:hAnsi="新細明體" w:cs="DFKaiShu-SB-Estd-BF" w:hint="eastAsia"/>
        </w:rPr>
        <w:t>則</w:t>
      </w:r>
      <w:r w:rsidRPr="007E21D9">
        <w:rPr>
          <w:rFonts w:ascii="新細明體" w:hAnsi="新細明體" w:cs="新細明體" w:hint="eastAsia"/>
        </w:rPr>
        <w:t>下跌</w:t>
      </w:r>
      <w:r>
        <w:t>4.5%</w:t>
      </w:r>
      <w:r w:rsidR="00F073F8">
        <w:rPr>
          <w:rFonts w:ascii="新細明體" w:hAnsi="新細明體" w:cs="SimSun" w:hint="eastAsia"/>
        </w:rPr>
        <w:t>。</w:t>
      </w:r>
    </w:p>
    <w:p w:rsidR="00CB1799" w:rsidRPr="00CB1799" w:rsidRDefault="00DA49D0" w:rsidP="00CB1799">
      <w:pPr>
        <w:numPr>
          <w:ilvl w:val="0"/>
          <w:numId w:val="4"/>
        </w:numPr>
        <w:adjustRightInd w:val="0"/>
        <w:snapToGrid w:val="0"/>
        <w:spacing w:line="320" w:lineRule="exact"/>
        <w:jc w:val="both"/>
        <w:textAlignment w:val="baseline"/>
        <w:rPr>
          <w:kern w:val="0"/>
          <w:szCs w:val="24"/>
          <w:lang w:val="en-GB"/>
        </w:rPr>
      </w:pPr>
      <w:r>
        <w:lastRenderedPageBreak/>
        <w:t>2018</w:t>
      </w:r>
      <w:r>
        <w:rPr>
          <w:rFonts w:ascii="新細明體" w:hAnsi="新細明體" w:cs="新細明體" w:hint="eastAsia"/>
        </w:rPr>
        <w:t>年</w:t>
      </w:r>
      <w:r>
        <w:t>7</w:t>
      </w:r>
      <w:r>
        <w:rPr>
          <w:rFonts w:ascii="新細明體" w:hAnsi="新細明體" w:cs="新細明體" w:hint="eastAsia"/>
        </w:rPr>
        <w:t>月份訪澳旅客為</w:t>
      </w:r>
      <w:r>
        <w:t>303</w:t>
      </w:r>
      <w:r>
        <w:rPr>
          <w:rFonts w:ascii="新細明體" w:hAnsi="新細明體" w:cs="新細明體" w:hint="eastAsia"/>
        </w:rPr>
        <w:t>萬人次，按年上升</w:t>
      </w:r>
      <w:r>
        <w:t>4.0%</w:t>
      </w:r>
      <w:r>
        <w:rPr>
          <w:rFonts w:ascii="新細明體" w:hAnsi="新細明體" w:cs="新細明體" w:hint="eastAsia"/>
        </w:rPr>
        <w:t>，其中兩大主要市場，中國大陸的入境旅客為</w:t>
      </w:r>
      <w:r>
        <w:t>217</w:t>
      </w:r>
      <w:r>
        <w:rPr>
          <w:rFonts w:ascii="新細明體" w:hAnsi="新細明體" w:cs="新細明體" w:hint="eastAsia"/>
        </w:rPr>
        <w:t>萬人次，按年上升</w:t>
      </w:r>
      <w:r>
        <w:t>7.6</w:t>
      </w:r>
      <w:r>
        <w:rPr>
          <w:rFonts w:eastAsia="Times New Roman"/>
        </w:rPr>
        <w:t>%</w:t>
      </w:r>
      <w:r>
        <w:rPr>
          <w:rFonts w:ascii="新細明體" w:hAnsi="新細明體" w:cs="DFKaiShu-SB-Estd-BF" w:hint="eastAsia"/>
        </w:rPr>
        <w:t>，而</w:t>
      </w:r>
      <w:r>
        <w:rPr>
          <w:rFonts w:ascii="新細明體" w:hAnsi="新細明體" w:cs="新細明體" w:hint="eastAsia"/>
        </w:rPr>
        <w:t>香港入境旅客為</w:t>
      </w:r>
      <w:r>
        <w:rPr>
          <w:rFonts w:hint="eastAsia"/>
        </w:rPr>
        <w:t>5</w:t>
      </w:r>
      <w:r>
        <w:t>5</w:t>
      </w:r>
      <w:r>
        <w:rPr>
          <w:rFonts w:ascii="新細明體" w:hAnsi="新細明體" w:cs="新細明體" w:hint="eastAsia"/>
        </w:rPr>
        <w:t>萬人次，按年</w:t>
      </w:r>
      <w:r>
        <w:rPr>
          <w:rFonts w:ascii="新細明體" w:hAnsi="新細明體" w:cs="DFKaiShu-SB-Estd-BF" w:hint="eastAsia"/>
        </w:rPr>
        <w:t>下降</w:t>
      </w:r>
      <w:r>
        <w:t>2.5%</w:t>
      </w:r>
      <w:r w:rsidR="00CB1799" w:rsidRPr="00CB1799">
        <w:rPr>
          <w:rFonts w:hint="eastAsia"/>
          <w:kern w:val="0"/>
          <w:szCs w:val="24"/>
          <w:lang w:val="en-GB"/>
        </w:rPr>
        <w:t>。</w:t>
      </w:r>
    </w:p>
    <w:p w:rsidR="00CB1799" w:rsidRPr="00CB1799" w:rsidRDefault="00DA49D0" w:rsidP="00CB1799">
      <w:pPr>
        <w:numPr>
          <w:ilvl w:val="0"/>
          <w:numId w:val="4"/>
        </w:numPr>
        <w:adjustRightInd w:val="0"/>
        <w:snapToGrid w:val="0"/>
        <w:spacing w:line="320" w:lineRule="exact"/>
        <w:jc w:val="both"/>
        <w:textAlignment w:val="baseline"/>
        <w:rPr>
          <w:kern w:val="0"/>
          <w:szCs w:val="24"/>
          <w:lang w:val="en-GB"/>
        </w:rPr>
      </w:pPr>
      <w:bookmarkStart w:id="11" w:name="_Hlk517086451"/>
      <w:r>
        <w:rPr>
          <w:rFonts w:ascii="新細明體" w:hAnsi="新細明體" w:cs="新細明體" w:hint="eastAsia"/>
        </w:rPr>
        <w:t>貨物出口</w:t>
      </w:r>
      <w:r>
        <w:rPr>
          <w:rFonts w:ascii="新細明體" w:hAnsi="新細明體" w:cs="新細明體" w:hint="eastAsia"/>
          <w:lang w:val="pt-PT"/>
        </w:rPr>
        <w:t>在</w:t>
      </w:r>
      <w:r>
        <w:rPr>
          <w:rFonts w:cs="新細明體" w:hint="eastAsia"/>
          <w:lang w:val="pt-PT"/>
        </w:rPr>
        <w:t>201</w:t>
      </w:r>
      <w:r>
        <w:rPr>
          <w:rFonts w:cs="新細明體"/>
          <w:lang w:val="pt-PT"/>
        </w:rPr>
        <w:t>7</w:t>
      </w:r>
      <w:r>
        <w:rPr>
          <w:rFonts w:ascii="新細明體" w:hAnsi="新細明體" w:cs="新細明體" w:hint="eastAsia"/>
          <w:lang w:val="pt-PT"/>
        </w:rPr>
        <w:t>年第</w:t>
      </w:r>
      <w:r>
        <w:rPr>
          <w:rFonts w:cs="新細明體"/>
          <w:lang w:val="pt-PT"/>
        </w:rPr>
        <w:t>1</w:t>
      </w:r>
      <w:r>
        <w:rPr>
          <w:rFonts w:ascii="新細明體" w:hAnsi="新細明體" w:cs="新細明體" w:hint="eastAsia"/>
          <w:lang w:val="pt-PT"/>
        </w:rPr>
        <w:t>季</w:t>
      </w:r>
      <w:r>
        <w:rPr>
          <w:rFonts w:ascii="新細明體" w:hAnsi="新細明體" w:cs="新細明體" w:hint="eastAsia"/>
          <w:bCs/>
          <w:lang w:val="pt-PT"/>
        </w:rPr>
        <w:t>開始</w:t>
      </w:r>
      <w:r>
        <w:rPr>
          <w:rFonts w:hint="eastAsia"/>
          <w:bCs/>
        </w:rPr>
        <w:t>復甦</w:t>
      </w:r>
      <w:r>
        <w:rPr>
          <w:rFonts w:ascii="新細明體" w:hAnsi="新細明體" w:cs="新細明體" w:hint="eastAsia"/>
          <w:bCs/>
          <w:lang w:val="pt-PT"/>
        </w:rPr>
        <w:t>。</w:t>
      </w:r>
      <w:r>
        <w:t>20</w:t>
      </w:r>
      <w:r>
        <w:rPr>
          <w:rFonts w:hint="eastAsia"/>
        </w:rPr>
        <w:t>1</w:t>
      </w:r>
      <w:r>
        <w:t>8</w:t>
      </w:r>
      <w:r>
        <w:rPr>
          <w:rFonts w:ascii="新細明體" w:hAnsi="新細明體" w:cs="新細明體" w:hint="eastAsia"/>
        </w:rPr>
        <w:t>年第</w:t>
      </w:r>
      <w:r>
        <w:t>2</w:t>
      </w:r>
      <w:r>
        <w:rPr>
          <w:rFonts w:ascii="新細明體" w:hAnsi="新細明體" w:cs="新細明體" w:hint="eastAsia"/>
          <w:lang w:val="pt-PT"/>
        </w:rPr>
        <w:t>季</w:t>
      </w:r>
      <w:r>
        <w:rPr>
          <w:rFonts w:ascii="新細明體" w:hAnsi="新細明體" w:cs="新細明體" w:hint="eastAsia"/>
        </w:rPr>
        <w:t>貨物出口</w:t>
      </w:r>
      <w:r>
        <w:rPr>
          <w:rFonts w:ascii="新細明體" w:hAnsi="新細明體" w:cs="SimSun" w:hint="eastAsia"/>
        </w:rPr>
        <w:t>按</w:t>
      </w:r>
      <w:r>
        <w:rPr>
          <w:rFonts w:ascii="新細明體" w:hAnsi="新細明體" w:cs="新細明體" w:hint="eastAsia"/>
        </w:rPr>
        <w:t>年</w:t>
      </w:r>
      <w:r w:rsidRPr="003D5E9B">
        <w:rPr>
          <w:rFonts w:hint="eastAsia"/>
        </w:rPr>
        <w:t>增長</w:t>
      </w:r>
      <w:r>
        <w:t>29.9</w:t>
      </w:r>
      <w:r>
        <w:rPr>
          <w:rFonts w:eastAsia="DFKaiShu-SB-Estd-BF"/>
        </w:rPr>
        <w:t>%</w:t>
      </w:r>
      <w:r>
        <w:rPr>
          <w:rFonts w:ascii="新細明體" w:hAnsi="新細明體" w:cs="新細明體" w:hint="eastAsia"/>
          <w:sz w:val="26"/>
          <w:szCs w:val="26"/>
        </w:rPr>
        <w:t>至</w:t>
      </w:r>
      <w:r>
        <w:t>37</w:t>
      </w:r>
      <w:r>
        <w:rPr>
          <w:rFonts w:ascii="新細明體" w:hAnsi="新細明體" w:cs="新細明體" w:hint="eastAsia"/>
          <w:lang w:val="pt-PT"/>
        </w:rPr>
        <w:t>億澳門元</w:t>
      </w:r>
      <w:bookmarkEnd w:id="11"/>
      <w:r w:rsidR="00CB1799" w:rsidRPr="00CB1799">
        <w:rPr>
          <w:rFonts w:hint="eastAsia"/>
          <w:kern w:val="0"/>
          <w:szCs w:val="24"/>
        </w:rPr>
        <w:t>。</w:t>
      </w:r>
    </w:p>
    <w:p w:rsidR="00CB1799" w:rsidRPr="00CB1799" w:rsidRDefault="00DA49D0" w:rsidP="00CB1799">
      <w:pPr>
        <w:numPr>
          <w:ilvl w:val="0"/>
          <w:numId w:val="4"/>
        </w:numPr>
        <w:adjustRightInd w:val="0"/>
        <w:snapToGrid w:val="0"/>
        <w:spacing w:line="320" w:lineRule="exact"/>
        <w:jc w:val="both"/>
        <w:textAlignment w:val="baseline"/>
        <w:rPr>
          <w:kern w:val="0"/>
          <w:szCs w:val="24"/>
          <w:lang w:val="en-GB"/>
        </w:rPr>
      </w:pPr>
      <w:bookmarkStart w:id="12" w:name="_Hlk517086474"/>
      <w:r>
        <w:t>20</w:t>
      </w:r>
      <w:r>
        <w:rPr>
          <w:rFonts w:hint="eastAsia"/>
        </w:rPr>
        <w:t>1</w:t>
      </w:r>
      <w:r>
        <w:t>8</w:t>
      </w:r>
      <w:r>
        <w:rPr>
          <w:rFonts w:ascii="新細明體" w:hAnsi="新細明體" w:cs="新細明體" w:hint="eastAsia"/>
        </w:rPr>
        <w:t>年第</w:t>
      </w:r>
      <w:r>
        <w:t>2</w:t>
      </w:r>
      <w:r>
        <w:rPr>
          <w:rFonts w:ascii="新細明體" w:hAnsi="新細明體" w:cs="新細明體" w:hint="eastAsia"/>
        </w:rPr>
        <w:t>季貨物進口按年上升</w:t>
      </w:r>
      <w:r>
        <w:t>10</w:t>
      </w:r>
      <w:r>
        <w:rPr>
          <w:rFonts w:hint="eastAsia"/>
        </w:rPr>
        <w:t>.</w:t>
      </w:r>
      <w:r>
        <w:t>0%</w:t>
      </w:r>
      <w:r>
        <w:rPr>
          <w:rFonts w:ascii="新細明體" w:hAnsi="新細明體" w:cs="DFKaiShu-SB-Estd-BF" w:hint="eastAsia"/>
        </w:rPr>
        <w:t>，</w:t>
      </w:r>
      <w:r>
        <w:rPr>
          <w:rFonts w:hint="eastAsia"/>
        </w:rPr>
        <w:t>至</w:t>
      </w:r>
      <w:r>
        <w:rPr>
          <w:rFonts w:hint="eastAsia"/>
        </w:rPr>
        <w:t>2</w:t>
      </w:r>
      <w:r>
        <w:t>37</w:t>
      </w:r>
      <w:r>
        <w:rPr>
          <w:rFonts w:hint="eastAsia"/>
        </w:rPr>
        <w:t>億澳門元</w:t>
      </w:r>
      <w:r>
        <w:rPr>
          <w:rFonts w:ascii="新細明體" w:hAnsi="新細明體" w:cs="新細明體" w:hint="eastAsia"/>
        </w:rPr>
        <w:t>，而服務進口隨</w:t>
      </w:r>
      <w:r>
        <w:rPr>
          <w:rFonts w:hint="eastAsia"/>
        </w:rPr>
        <w:t>着</w:t>
      </w:r>
      <w:r>
        <w:rPr>
          <w:rFonts w:ascii="新細明體" w:hAnsi="新細明體" w:cs="新細明體" w:hint="eastAsia"/>
        </w:rPr>
        <w:t>博彩服務出口</w:t>
      </w:r>
      <w:r>
        <w:rPr>
          <w:rFonts w:ascii="新細明體" w:hAnsi="新細明體" w:cs="新細明體" w:hint="eastAsia"/>
          <w:bCs/>
        </w:rPr>
        <w:t>復甦</w:t>
      </w:r>
      <w:r>
        <w:rPr>
          <w:rFonts w:ascii="新細明體" w:hAnsi="新細明體" w:cs="DFKaiShu-SB-Estd-BF" w:hint="eastAsia"/>
        </w:rPr>
        <w:t>，</w:t>
      </w:r>
      <w:r>
        <w:rPr>
          <w:rFonts w:ascii="新細明體" w:hAnsi="新細明體" w:cs="新細明體" w:hint="eastAsia"/>
        </w:rPr>
        <w:t>按年上升</w:t>
      </w:r>
      <w:r>
        <w:t>19.3%</w:t>
      </w:r>
      <w:r>
        <w:rPr>
          <w:rFonts w:hint="eastAsia"/>
        </w:rPr>
        <w:t>至</w:t>
      </w:r>
      <w:r>
        <w:t>103</w:t>
      </w:r>
      <w:r>
        <w:rPr>
          <w:rFonts w:hint="eastAsia"/>
        </w:rPr>
        <w:t>億澳門元</w:t>
      </w:r>
      <w:bookmarkEnd w:id="12"/>
      <w:r w:rsidR="00CB1799" w:rsidRPr="00CB1799">
        <w:rPr>
          <w:rFonts w:hint="eastAsia"/>
          <w:kern w:val="0"/>
          <w:szCs w:val="24"/>
          <w:lang w:val="en-GB"/>
        </w:rPr>
        <w:t>。</w:t>
      </w:r>
    </w:p>
    <w:p w:rsidR="00CB1799" w:rsidRPr="00CB1799" w:rsidRDefault="00DA49D0" w:rsidP="00CB1799">
      <w:pPr>
        <w:numPr>
          <w:ilvl w:val="0"/>
          <w:numId w:val="4"/>
        </w:numPr>
        <w:adjustRightInd w:val="0"/>
        <w:snapToGrid w:val="0"/>
        <w:spacing w:line="320" w:lineRule="exact"/>
        <w:jc w:val="both"/>
        <w:textAlignment w:val="baseline"/>
        <w:rPr>
          <w:kern w:val="0"/>
          <w:szCs w:val="24"/>
          <w:lang w:val="en-GB"/>
        </w:rPr>
      </w:pPr>
      <w:bookmarkStart w:id="13" w:name="_Hlk517086503"/>
      <w:r>
        <w:rPr>
          <w:rFonts w:ascii="新細明體" w:hAnsi="新細明體" w:cs="新細明體" w:hint="eastAsia"/>
        </w:rPr>
        <w:t>按貨物進口種類分析，</w:t>
      </w:r>
      <w:r w:rsidRPr="00E17F30">
        <w:rPr>
          <w:rFonts w:ascii="新細明體" w:hAnsi="新細明體" w:cs="新細明體" w:hint="eastAsia"/>
        </w:rPr>
        <w:t>隨着</w:t>
      </w:r>
      <w:r>
        <w:rPr>
          <w:rFonts w:ascii="新細明體" w:hAnsi="新細明體" w:cs="新細明體" w:hint="eastAsia"/>
        </w:rPr>
        <w:t>居民消費</w:t>
      </w:r>
      <w:r w:rsidRPr="00F81938">
        <w:rPr>
          <w:rFonts w:ascii="新細明體" w:hAnsi="新細明體" w:cs="新細明體" w:hint="eastAsia"/>
        </w:rPr>
        <w:t>穩定</w:t>
      </w:r>
      <w:r>
        <w:rPr>
          <w:rFonts w:ascii="新細明體" w:hAnsi="新細明體" w:cs="新細明體" w:hint="eastAsia"/>
        </w:rPr>
        <w:t>增長，消費品進口在</w:t>
      </w:r>
      <w:r>
        <w:t>20</w:t>
      </w:r>
      <w:r>
        <w:rPr>
          <w:rFonts w:hint="eastAsia"/>
        </w:rPr>
        <w:t>1</w:t>
      </w:r>
      <w:r>
        <w:t>8</w:t>
      </w:r>
      <w:r>
        <w:rPr>
          <w:rFonts w:ascii="新細明體" w:hAnsi="新細明體" w:cs="新細明體" w:hint="eastAsia"/>
        </w:rPr>
        <w:t>年第</w:t>
      </w:r>
      <w:r>
        <w:t>2</w:t>
      </w:r>
      <w:r>
        <w:rPr>
          <w:rFonts w:ascii="新細明體" w:hAnsi="新細明體" w:cs="新細明體" w:hint="eastAsia"/>
        </w:rPr>
        <w:t>季按年上升</w:t>
      </w:r>
      <w:r>
        <w:t>17.9%</w:t>
      </w:r>
      <w:r>
        <w:rPr>
          <w:rFonts w:ascii="新細明體" w:hAnsi="新細明體" w:cs="新細明體" w:hint="eastAsia"/>
        </w:rPr>
        <w:t>；原料以及半製成品進口按年上升</w:t>
      </w:r>
      <w:r>
        <w:t>11.5%</w:t>
      </w:r>
      <w:r>
        <w:rPr>
          <w:rFonts w:ascii="新細明體" w:hAnsi="新細明體" w:cs="新細明體" w:hint="eastAsia"/>
        </w:rPr>
        <w:t>，反映貨物出口的</w:t>
      </w:r>
      <w:r>
        <w:rPr>
          <w:rFonts w:hint="eastAsia"/>
          <w:bCs/>
        </w:rPr>
        <w:t>復甦</w:t>
      </w:r>
      <w:r>
        <w:rPr>
          <w:rFonts w:ascii="新細明體" w:hAnsi="新細明體" w:cs="新細明體" w:hint="eastAsia"/>
        </w:rPr>
        <w:t>；而資本貨物進口則按年</w:t>
      </w:r>
      <w:r w:rsidRPr="00431F4E">
        <w:rPr>
          <w:rFonts w:ascii="新細明體" w:hAnsi="新細明體" w:cs="新細明體" w:hint="eastAsia"/>
        </w:rPr>
        <w:t>急</w:t>
      </w:r>
      <w:r>
        <w:rPr>
          <w:rFonts w:ascii="新細明體" w:hAnsi="新細明體" w:cs="新細明體" w:hint="eastAsia"/>
        </w:rPr>
        <w:t>升</w:t>
      </w:r>
      <w:r>
        <w:t>60.5%</w:t>
      </w:r>
      <w:r>
        <w:rPr>
          <w:rFonts w:ascii="新細明體" w:hAnsi="新細明體" w:cs="新細明體" w:hint="eastAsia"/>
        </w:rPr>
        <w:t>，</w:t>
      </w:r>
      <w:r w:rsidRPr="00E17F30">
        <w:rPr>
          <w:rFonts w:ascii="新細明體" w:hAnsi="新細明體" w:cs="新細明體" w:hint="eastAsia"/>
        </w:rPr>
        <w:t>則</w:t>
      </w:r>
      <w:r>
        <w:rPr>
          <w:rFonts w:ascii="新細明體" w:hAnsi="新細明體" w:cs="新細明體" w:hint="eastAsia"/>
        </w:rPr>
        <w:t>反映設備投資的增長</w:t>
      </w:r>
      <w:bookmarkEnd w:id="13"/>
      <w:r w:rsidR="00CB1799" w:rsidRPr="00CB1799">
        <w:rPr>
          <w:rFonts w:hint="eastAsia"/>
          <w:kern w:val="0"/>
          <w:szCs w:val="24"/>
          <w:lang w:val="en-GB"/>
        </w:rPr>
        <w:t>。</w:t>
      </w:r>
    </w:p>
    <w:p w:rsidR="00CB1799" w:rsidRPr="00CB1799" w:rsidRDefault="005117D0" w:rsidP="00CB1799">
      <w:pPr>
        <w:numPr>
          <w:ilvl w:val="0"/>
          <w:numId w:val="4"/>
        </w:numPr>
        <w:adjustRightInd w:val="0"/>
        <w:snapToGrid w:val="0"/>
        <w:spacing w:line="320" w:lineRule="exact"/>
        <w:jc w:val="both"/>
        <w:textAlignment w:val="baseline"/>
        <w:rPr>
          <w:kern w:val="0"/>
          <w:szCs w:val="24"/>
          <w:lang w:val="en-GB"/>
        </w:rPr>
      </w:pPr>
      <w:bookmarkStart w:id="14" w:name="_Hlk517086525"/>
      <w:r w:rsidRPr="00E17F30">
        <w:rPr>
          <w:rFonts w:ascii="新細明體" w:hAnsi="新細明體" w:cs="新細明體" w:hint="eastAsia"/>
        </w:rPr>
        <w:t>隨着</w:t>
      </w:r>
      <w:r>
        <w:rPr>
          <w:rFonts w:ascii="新細明體" w:hAnsi="新細明體" w:cs="新細明體" w:hint="eastAsia"/>
        </w:rPr>
        <w:t>收入增長，本澳</w:t>
      </w:r>
      <w:r>
        <w:rPr>
          <w:rFonts w:hint="eastAsia"/>
          <w:bCs/>
        </w:rPr>
        <w:t>居民</w:t>
      </w:r>
      <w:r w:rsidRPr="00F523F2">
        <w:rPr>
          <w:rFonts w:ascii="新細明體" w:hAnsi="新細明體" w:cs="新細明體" w:hint="eastAsia"/>
        </w:rPr>
        <w:t>更有信心</w:t>
      </w:r>
      <w:r>
        <w:rPr>
          <w:rFonts w:ascii="新細明體" w:hAnsi="新細明體" w:cs="新細明體" w:hint="eastAsia"/>
        </w:rPr>
        <w:t>消費，</w:t>
      </w:r>
      <w:r>
        <w:t>20</w:t>
      </w:r>
      <w:r>
        <w:rPr>
          <w:rFonts w:hint="eastAsia"/>
        </w:rPr>
        <w:t>1</w:t>
      </w:r>
      <w:r>
        <w:t>8</w:t>
      </w:r>
      <w:r>
        <w:rPr>
          <w:rFonts w:ascii="新細明體" w:hAnsi="新細明體" w:cs="新細明體" w:hint="eastAsia"/>
        </w:rPr>
        <w:t>年第</w:t>
      </w:r>
      <w:r>
        <w:t>2</w:t>
      </w:r>
      <w:r>
        <w:rPr>
          <w:rFonts w:ascii="新細明體" w:hAnsi="新細明體" w:cs="新細明體" w:hint="eastAsia"/>
        </w:rPr>
        <w:t>季私人消費支出為</w:t>
      </w:r>
      <w:r>
        <w:rPr>
          <w:rFonts w:hint="eastAsia"/>
        </w:rPr>
        <w:t>2</w:t>
      </w:r>
      <w:r>
        <w:t>54</w:t>
      </w:r>
      <w:r>
        <w:rPr>
          <w:rFonts w:hint="eastAsia"/>
        </w:rPr>
        <w:t>億澳門元</w:t>
      </w:r>
      <w:r>
        <w:rPr>
          <w:rFonts w:ascii="新細明體" w:hAnsi="新細明體" w:cs="新細明體" w:hint="eastAsia"/>
        </w:rPr>
        <w:t>，按年上升</w:t>
      </w:r>
      <w:r>
        <w:rPr>
          <w:rFonts w:cs="新細明體"/>
        </w:rPr>
        <w:t>5.3</w:t>
      </w:r>
      <w:r>
        <w:rPr>
          <w:rFonts w:cs="新細明體" w:hint="eastAsia"/>
        </w:rPr>
        <w:t>%</w:t>
      </w:r>
      <w:r>
        <w:rPr>
          <w:rFonts w:ascii="新細明體" w:hAnsi="新細明體" w:cs="新細明體" w:hint="eastAsia"/>
        </w:rPr>
        <w:t>。其中住戶本地最終消費及在外地之最終消費分別按年上升</w:t>
      </w:r>
      <w:r>
        <w:t>4.9%</w:t>
      </w:r>
      <w:r>
        <w:rPr>
          <w:rFonts w:ascii="新細明體" w:hAnsi="新細明體" w:cs="新細明體" w:hint="eastAsia"/>
        </w:rPr>
        <w:t>及</w:t>
      </w:r>
      <w:r>
        <w:t>3.3%</w:t>
      </w:r>
      <w:bookmarkEnd w:id="14"/>
      <w:r w:rsidR="00CB1799" w:rsidRPr="00CB1799">
        <w:rPr>
          <w:rFonts w:hint="eastAsia"/>
          <w:kern w:val="0"/>
          <w:szCs w:val="24"/>
        </w:rPr>
        <w:t>。</w:t>
      </w:r>
    </w:p>
    <w:p w:rsidR="00CB1799" w:rsidRPr="00CB1799" w:rsidRDefault="005117D0" w:rsidP="00CB1799">
      <w:pPr>
        <w:numPr>
          <w:ilvl w:val="0"/>
          <w:numId w:val="4"/>
        </w:numPr>
        <w:adjustRightInd w:val="0"/>
        <w:snapToGrid w:val="0"/>
        <w:spacing w:line="320" w:lineRule="exact"/>
        <w:jc w:val="both"/>
        <w:textAlignment w:val="baseline"/>
        <w:rPr>
          <w:kern w:val="0"/>
          <w:szCs w:val="24"/>
          <w:lang w:val="en-GB"/>
        </w:rPr>
      </w:pPr>
      <w:bookmarkStart w:id="15" w:name="_Hlk517086546"/>
      <w:r>
        <w:rPr>
          <w:rFonts w:hint="eastAsia"/>
        </w:rPr>
        <w:t>隨着主要賭場及酒店</w:t>
      </w:r>
      <w:r>
        <w:rPr>
          <w:rFonts w:ascii="新細明體" w:hAnsi="新細明體" w:cs="新細明體" w:hint="eastAsia"/>
        </w:rPr>
        <w:t>落成，</w:t>
      </w:r>
      <w:r>
        <w:t>20</w:t>
      </w:r>
      <w:r>
        <w:rPr>
          <w:rFonts w:hint="eastAsia"/>
        </w:rPr>
        <w:t>1</w:t>
      </w:r>
      <w:r>
        <w:t>8</w:t>
      </w:r>
      <w:r>
        <w:rPr>
          <w:rFonts w:ascii="新細明體" w:hAnsi="新細明體" w:cs="新細明體" w:hint="eastAsia"/>
        </w:rPr>
        <w:t>年第</w:t>
      </w:r>
      <w:r>
        <w:t>2</w:t>
      </w:r>
      <w:r>
        <w:rPr>
          <w:rFonts w:ascii="新細明體" w:hAnsi="新細明體" w:cs="新細明體" w:hint="eastAsia"/>
        </w:rPr>
        <w:t>季私人投資按年</w:t>
      </w:r>
      <w:r>
        <w:rPr>
          <w:rFonts w:ascii="新細明體" w:hAnsi="新細明體" w:cs="DFKaiShu-SB-Estd-BF" w:hint="eastAsia"/>
        </w:rPr>
        <w:t>下跌</w:t>
      </w:r>
      <w:r>
        <w:t>18.9%</w:t>
      </w:r>
      <w:r>
        <w:rPr>
          <w:rFonts w:ascii="新細明體" w:hAnsi="新細明體" w:cs="新細明體" w:hint="eastAsia"/>
        </w:rPr>
        <w:t>至</w:t>
      </w:r>
      <w:r>
        <w:rPr>
          <w:rFonts w:hint="eastAsia"/>
        </w:rPr>
        <w:t>1</w:t>
      </w:r>
      <w:r>
        <w:t>24</w:t>
      </w:r>
      <w:r>
        <w:rPr>
          <w:rFonts w:ascii="新細明體" w:hAnsi="新細明體" w:cs="新細明體" w:hint="eastAsia"/>
        </w:rPr>
        <w:t>億澳門元，而公共投資則按年上升</w:t>
      </w:r>
      <w:r>
        <w:t>28.9%</w:t>
      </w:r>
      <w:r>
        <w:rPr>
          <w:rFonts w:ascii="新細明體" w:hAnsi="新細明體" w:cs="新細明體" w:hint="eastAsia"/>
        </w:rPr>
        <w:t>。最終固定資本形成總額按年</w:t>
      </w:r>
      <w:r>
        <w:rPr>
          <w:rFonts w:ascii="新細明體" w:hAnsi="新細明體" w:cs="DFKaiShu-SB-Estd-BF" w:hint="eastAsia"/>
        </w:rPr>
        <w:t>下跌</w:t>
      </w:r>
      <w:r>
        <w:t>11.9%</w:t>
      </w:r>
      <w:r>
        <w:rPr>
          <w:rFonts w:ascii="新細明體" w:hAnsi="新細明體" w:cs="新細明體" w:hint="eastAsia"/>
        </w:rPr>
        <w:t>至</w:t>
      </w:r>
      <w:r>
        <w:t>157</w:t>
      </w:r>
      <w:r>
        <w:rPr>
          <w:rFonts w:ascii="新細明體" w:hAnsi="新細明體" w:cs="新細明體" w:hint="eastAsia"/>
        </w:rPr>
        <w:t>億澳門元。私人建築投資及設備投資分別</w:t>
      </w:r>
      <w:r>
        <w:rPr>
          <w:rFonts w:ascii="新細明體" w:hAnsi="新細明體" w:cs="DFKaiShu-SB-Estd-BF" w:hint="eastAsia"/>
        </w:rPr>
        <w:t>按</w:t>
      </w:r>
      <w:r>
        <w:rPr>
          <w:rFonts w:ascii="新細明體" w:hAnsi="新細明體" w:cs="新細明體" w:hint="eastAsia"/>
        </w:rPr>
        <w:t>年</w:t>
      </w:r>
      <w:r>
        <w:rPr>
          <w:rFonts w:ascii="新細明體" w:hAnsi="新細明體" w:cs="DFKaiShu-SB-Estd-BF" w:hint="eastAsia"/>
        </w:rPr>
        <w:t>下跌</w:t>
      </w:r>
      <w:r>
        <w:t>22.0%</w:t>
      </w:r>
      <w:r>
        <w:rPr>
          <w:rFonts w:ascii="新細明體" w:hAnsi="新細明體" w:cs="新細明體" w:hint="eastAsia"/>
        </w:rPr>
        <w:t>和上升</w:t>
      </w:r>
      <w:r>
        <w:t>7.5%</w:t>
      </w:r>
      <w:bookmarkEnd w:id="15"/>
      <w:r w:rsidR="00CB1799" w:rsidRPr="00CB1799">
        <w:rPr>
          <w:rFonts w:hint="eastAsia"/>
          <w:kern w:val="0"/>
          <w:szCs w:val="24"/>
          <w:lang w:val="en-GB"/>
        </w:rPr>
        <w:t>。</w:t>
      </w:r>
    </w:p>
    <w:p w:rsidR="00CB1799" w:rsidRPr="00CB1799" w:rsidRDefault="005117D0" w:rsidP="00CB1799">
      <w:pPr>
        <w:numPr>
          <w:ilvl w:val="0"/>
          <w:numId w:val="4"/>
        </w:numPr>
        <w:adjustRightInd w:val="0"/>
        <w:snapToGrid w:val="0"/>
        <w:spacing w:line="320" w:lineRule="exact"/>
        <w:jc w:val="both"/>
        <w:textAlignment w:val="baseline"/>
        <w:rPr>
          <w:kern w:val="0"/>
          <w:szCs w:val="24"/>
          <w:lang w:val="en-GB"/>
        </w:rPr>
      </w:pPr>
      <w:bookmarkStart w:id="16" w:name="_Hlk517086576"/>
      <w:r>
        <w:rPr>
          <w:rFonts w:ascii="新細明體" w:hAnsi="新細明體" w:cs="新細明體" w:hint="eastAsia"/>
        </w:rPr>
        <w:t>物業市場方面，</w:t>
      </w:r>
      <w:r>
        <w:t>20</w:t>
      </w:r>
      <w:r>
        <w:rPr>
          <w:rFonts w:hint="eastAsia"/>
        </w:rPr>
        <w:t>1</w:t>
      </w:r>
      <w:r>
        <w:t>8</w:t>
      </w:r>
      <w:r>
        <w:rPr>
          <w:rFonts w:ascii="新細明體" w:hAnsi="新細明體" w:cs="新細明體" w:hint="eastAsia"/>
        </w:rPr>
        <w:t>年</w:t>
      </w:r>
      <w:r>
        <w:rPr>
          <w:rFonts w:ascii="新細明體" w:hAnsi="新細明體" w:cs="DFKaiShu-SB-Estd-BF" w:hint="eastAsia"/>
        </w:rPr>
        <w:t>第</w:t>
      </w:r>
      <w:r>
        <w:t>2</w:t>
      </w:r>
      <w:r>
        <w:rPr>
          <w:rFonts w:ascii="新細明體" w:hAnsi="新細明體" w:cs="DFKaiShu-SB-Estd-BF" w:hint="eastAsia"/>
        </w:rPr>
        <w:t>季住宅</w:t>
      </w:r>
      <w:r>
        <w:rPr>
          <w:rFonts w:ascii="新細明體" w:hAnsi="新細明體" w:cs="新細明體" w:hint="eastAsia"/>
        </w:rPr>
        <w:t>交投</w:t>
      </w:r>
      <w:r w:rsidRPr="00D361A0">
        <w:rPr>
          <w:rFonts w:ascii="新細明體" w:hAnsi="新細明體" w:cs="新細明體" w:hint="eastAsia"/>
        </w:rPr>
        <w:t>放緩</w:t>
      </w:r>
      <w:r>
        <w:rPr>
          <w:rFonts w:ascii="新細明體" w:hAnsi="新細明體" w:cs="新細明體" w:hint="eastAsia"/>
        </w:rPr>
        <w:t>，</w:t>
      </w:r>
      <w:r>
        <w:rPr>
          <w:rFonts w:ascii="新細明體" w:hAnsi="新細明體" w:cs="DFKaiShu-SB-Estd-BF" w:hint="eastAsia"/>
        </w:rPr>
        <w:t>住宅</w:t>
      </w:r>
      <w:r>
        <w:rPr>
          <w:rFonts w:ascii="新細明體" w:hAnsi="新細明體" w:cs="SimSun" w:hint="eastAsia"/>
        </w:rPr>
        <w:t>單位買賣共</w:t>
      </w:r>
      <w:r>
        <w:t>3,056</w:t>
      </w:r>
      <w:r>
        <w:rPr>
          <w:rFonts w:ascii="新細明體" w:hAnsi="新細明體" w:cs="DFKaiShu-SB-Estd-BF" w:hint="eastAsia"/>
        </w:rPr>
        <w:t>個，總值</w:t>
      </w:r>
      <w:r>
        <w:t>193</w:t>
      </w:r>
      <w:r>
        <w:rPr>
          <w:rFonts w:ascii="新細明體" w:hAnsi="新細明體" w:cs="DFKaiShu-SB-Estd-BF" w:hint="eastAsia"/>
        </w:rPr>
        <w:t>億</w:t>
      </w:r>
      <w:r>
        <w:rPr>
          <w:rFonts w:ascii="新細明體" w:hAnsi="新細明體" w:cs="新細明體" w:hint="eastAsia"/>
        </w:rPr>
        <w:t>澳門</w:t>
      </w:r>
      <w:r>
        <w:rPr>
          <w:rFonts w:ascii="新細明體" w:hAnsi="新細明體" w:cs="DFKaiShu-SB-Estd-BF" w:hint="eastAsia"/>
        </w:rPr>
        <w:t>元，分別</w:t>
      </w:r>
      <w:r>
        <w:rPr>
          <w:rFonts w:ascii="新細明體" w:hAnsi="新細明體" w:cs="新細明體" w:hint="eastAsia"/>
        </w:rPr>
        <w:t>按</w:t>
      </w:r>
      <w:r>
        <w:rPr>
          <w:rFonts w:ascii="新細明體" w:hAnsi="新細明體" w:cs="DFKaiShu-SB-Estd-BF" w:hint="eastAsia"/>
        </w:rPr>
        <w:t>季下跌</w:t>
      </w:r>
      <w:r>
        <w:t>15.7%</w:t>
      </w:r>
      <w:r>
        <w:rPr>
          <w:rFonts w:ascii="新細明體" w:hAnsi="新細明體" w:cs="DFKaiShu-SB-Estd-BF" w:hint="eastAsia"/>
        </w:rPr>
        <w:t>及</w:t>
      </w:r>
      <w:r>
        <w:t>20.8%</w:t>
      </w:r>
      <w:r>
        <w:rPr>
          <w:rFonts w:ascii="新細明體" w:hAnsi="新細明體" w:cs="DFKaiShu-SB-Estd-BF" w:hint="eastAsia"/>
        </w:rPr>
        <w:t>。</w:t>
      </w:r>
      <w:bookmarkEnd w:id="16"/>
      <w:r>
        <w:rPr>
          <w:rFonts w:ascii="新細明體" w:hAnsi="新細明體" w:cs="DFKaiShu-SB-Estd-BF" w:hint="eastAsia"/>
        </w:rPr>
        <w:t>其中成交價超過</w:t>
      </w:r>
      <w:r>
        <w:rPr>
          <w:rFonts w:hint="eastAsia"/>
        </w:rPr>
        <w:t>1</w:t>
      </w:r>
      <w:proofErr w:type="gramStart"/>
      <w:r>
        <w:rPr>
          <w:rFonts w:hint="eastAsia"/>
        </w:rPr>
        <w:t>千萬</w:t>
      </w:r>
      <w:proofErr w:type="gramEnd"/>
      <w:r>
        <w:rPr>
          <w:rFonts w:ascii="新細明體" w:hAnsi="新細明體" w:cs="DFKaiShu-SB-Estd-BF" w:hint="eastAsia"/>
        </w:rPr>
        <w:t>澳門元為</w:t>
      </w:r>
      <w:r>
        <w:t>345</w:t>
      </w:r>
      <w:r>
        <w:rPr>
          <w:rFonts w:hint="eastAsia"/>
        </w:rPr>
        <w:t>個</w:t>
      </w:r>
      <w:r>
        <w:rPr>
          <w:rFonts w:ascii="新細明體" w:hAnsi="新細明體" w:cs="新細明體" w:hint="eastAsia"/>
        </w:rPr>
        <w:t>，</w:t>
      </w:r>
      <w:r>
        <w:rPr>
          <w:rFonts w:ascii="新細明體" w:hAnsi="新細明體" w:cs="DFKaiShu-SB-Estd-BF" w:hint="eastAsia"/>
        </w:rPr>
        <w:t>在</w:t>
      </w:r>
      <w:r>
        <w:rPr>
          <w:rFonts w:hint="eastAsia"/>
        </w:rPr>
        <w:t>4</w:t>
      </w:r>
      <w:proofErr w:type="gramStart"/>
      <w:r>
        <w:rPr>
          <w:rFonts w:hint="eastAsia"/>
        </w:rPr>
        <w:t>百萬</w:t>
      </w:r>
      <w:proofErr w:type="gramEnd"/>
      <w:r>
        <w:rPr>
          <w:rFonts w:ascii="新細明體" w:hAnsi="新細明體" w:cs="DFKaiShu-SB-Estd-BF" w:hint="eastAsia"/>
        </w:rPr>
        <w:t>澳門元和</w:t>
      </w:r>
      <w:r>
        <w:rPr>
          <w:rFonts w:hint="eastAsia"/>
        </w:rPr>
        <w:t>1</w:t>
      </w:r>
      <w:proofErr w:type="gramStart"/>
      <w:r>
        <w:rPr>
          <w:rFonts w:hint="eastAsia"/>
        </w:rPr>
        <w:t>千萬</w:t>
      </w:r>
      <w:proofErr w:type="gramEnd"/>
      <w:r>
        <w:rPr>
          <w:rFonts w:ascii="新細明體" w:hAnsi="新細明體" w:cs="DFKaiShu-SB-Estd-BF" w:hint="eastAsia"/>
        </w:rPr>
        <w:t>澳門元之間為</w:t>
      </w:r>
      <w:r>
        <w:t>1,775</w:t>
      </w:r>
      <w:r>
        <w:rPr>
          <w:rFonts w:hint="eastAsia"/>
        </w:rPr>
        <w:t>個</w:t>
      </w:r>
      <w:r>
        <w:rPr>
          <w:rFonts w:ascii="新細明體" w:hAnsi="新細明體" w:cs="新細明體" w:hint="eastAsia"/>
        </w:rPr>
        <w:t>，</w:t>
      </w:r>
      <w:r>
        <w:rPr>
          <w:rFonts w:ascii="新細明體" w:hAnsi="新細明體" w:cs="DFKaiShu-SB-Estd-BF" w:hint="eastAsia"/>
        </w:rPr>
        <w:t>在</w:t>
      </w:r>
      <w:r>
        <w:rPr>
          <w:rFonts w:hint="eastAsia"/>
        </w:rPr>
        <w:t>2</w:t>
      </w:r>
      <w:proofErr w:type="gramStart"/>
      <w:r>
        <w:rPr>
          <w:rFonts w:hint="eastAsia"/>
        </w:rPr>
        <w:t>百萬</w:t>
      </w:r>
      <w:proofErr w:type="gramEnd"/>
      <w:r>
        <w:rPr>
          <w:rFonts w:ascii="新細明體" w:hAnsi="新細明體" w:cs="DFKaiShu-SB-Estd-BF" w:hint="eastAsia"/>
        </w:rPr>
        <w:t>澳門元和</w:t>
      </w:r>
      <w:r>
        <w:rPr>
          <w:rFonts w:hint="eastAsia"/>
        </w:rPr>
        <w:t>4</w:t>
      </w:r>
      <w:proofErr w:type="gramStart"/>
      <w:r>
        <w:rPr>
          <w:rFonts w:hint="eastAsia"/>
        </w:rPr>
        <w:t>百萬</w:t>
      </w:r>
      <w:proofErr w:type="gramEnd"/>
      <w:r>
        <w:rPr>
          <w:rFonts w:ascii="新細明體" w:hAnsi="新細明體" w:cs="DFKaiShu-SB-Estd-BF" w:hint="eastAsia"/>
        </w:rPr>
        <w:t>澳門元之間為</w:t>
      </w:r>
      <w:r>
        <w:t>800</w:t>
      </w:r>
      <w:r>
        <w:rPr>
          <w:rFonts w:hint="eastAsia"/>
        </w:rPr>
        <w:t>個</w:t>
      </w:r>
      <w:r>
        <w:rPr>
          <w:rFonts w:ascii="新細明體" w:hAnsi="新細明體" w:cs="新細明體" w:hint="eastAsia"/>
        </w:rPr>
        <w:t>，而</w:t>
      </w:r>
      <w:r>
        <w:rPr>
          <w:rFonts w:ascii="新細明體" w:hAnsi="新細明體" w:cs="DFKaiShu-SB-Estd-BF" w:hint="eastAsia"/>
        </w:rPr>
        <w:t>低於</w:t>
      </w:r>
      <w:r>
        <w:rPr>
          <w:rFonts w:hint="eastAsia"/>
        </w:rPr>
        <w:t>2</w:t>
      </w:r>
      <w:proofErr w:type="gramStart"/>
      <w:r>
        <w:rPr>
          <w:rFonts w:hint="eastAsia"/>
        </w:rPr>
        <w:t>百萬</w:t>
      </w:r>
      <w:proofErr w:type="gramEnd"/>
      <w:r>
        <w:rPr>
          <w:rFonts w:ascii="新細明體" w:hAnsi="新細明體" w:cs="DFKaiShu-SB-Estd-BF" w:hint="eastAsia"/>
        </w:rPr>
        <w:t>澳門元為</w:t>
      </w:r>
      <w:r>
        <w:t>136</w:t>
      </w:r>
      <w:r>
        <w:rPr>
          <w:rFonts w:hint="eastAsia"/>
        </w:rPr>
        <w:t>個</w:t>
      </w:r>
      <w:r>
        <w:rPr>
          <w:rFonts w:ascii="新細明體" w:hAnsi="新細明體" w:cs="DFKaiShu-SB-Estd-BF" w:hint="eastAsia"/>
        </w:rPr>
        <w:t>。以單位面積計算</w:t>
      </w:r>
      <w:r>
        <w:rPr>
          <w:rFonts w:ascii="新細明體" w:hAnsi="新細明體" w:cs="新細明體" w:hint="eastAsia"/>
        </w:rPr>
        <w:t>，</w:t>
      </w:r>
      <w:proofErr w:type="gramStart"/>
      <w:r>
        <w:rPr>
          <w:rFonts w:ascii="新細明體" w:hAnsi="新細明體" w:cs="新細明體" w:hint="eastAsia"/>
        </w:rPr>
        <w:t>佔</w:t>
      </w:r>
      <w:proofErr w:type="gramEnd"/>
      <w:r>
        <w:rPr>
          <w:rFonts w:ascii="新細明體" w:hAnsi="新細明體" w:cs="新細明體" w:hint="eastAsia"/>
        </w:rPr>
        <w:t>總數</w:t>
      </w:r>
      <w:r>
        <w:t>45.</w:t>
      </w:r>
      <w:r w:rsidR="006E55BB">
        <w:t>9</w:t>
      </w:r>
      <w:r>
        <w:t xml:space="preserve">% </w:t>
      </w:r>
      <w:r>
        <w:rPr>
          <w:rFonts w:hint="eastAsia"/>
        </w:rPr>
        <w:t>的</w:t>
      </w:r>
      <w:r>
        <w:rPr>
          <w:rFonts w:hint="eastAsia"/>
        </w:rPr>
        <w:t>1,</w:t>
      </w:r>
      <w:r>
        <w:t>402</w:t>
      </w:r>
      <w:r>
        <w:rPr>
          <w:rFonts w:ascii="新細明體" w:hAnsi="新細明體" w:cs="DFKaiShu-SB-Estd-BF" w:hint="eastAsia"/>
        </w:rPr>
        <w:t>住宅</w:t>
      </w:r>
      <w:r>
        <w:rPr>
          <w:rFonts w:ascii="新細明體" w:hAnsi="新細明體" w:cs="SimSun" w:hint="eastAsia"/>
        </w:rPr>
        <w:t>單位</w:t>
      </w:r>
      <w:proofErr w:type="gramStart"/>
      <w:r>
        <w:rPr>
          <w:rFonts w:ascii="新細明體" w:hAnsi="新細明體" w:cs="DFKaiShu-SB-Estd-BF" w:hint="eastAsia"/>
        </w:rPr>
        <w:t>介</w:t>
      </w:r>
      <w:proofErr w:type="gramEnd"/>
      <w:r>
        <w:rPr>
          <w:rFonts w:ascii="新細明體" w:hAnsi="新細明體" w:cs="DFKaiShu-SB-Estd-BF" w:hint="eastAsia"/>
        </w:rPr>
        <w:t>乎</w:t>
      </w:r>
      <w:r>
        <w:rPr>
          <w:rFonts w:hint="eastAsia"/>
        </w:rPr>
        <w:t>50</w:t>
      </w:r>
      <w:r>
        <w:rPr>
          <w:rFonts w:hint="eastAsia"/>
        </w:rPr>
        <w:t>和</w:t>
      </w:r>
      <w:r>
        <w:rPr>
          <w:rFonts w:hint="eastAsia"/>
        </w:rPr>
        <w:t>99.9</w:t>
      </w:r>
      <w:r>
        <w:rPr>
          <w:rFonts w:ascii="新細明體" w:hAnsi="新細明體" w:cs="DFKaiShu-SB-Estd-BF" w:hint="eastAsia"/>
        </w:rPr>
        <w:t>平方米。</w:t>
      </w:r>
      <w:bookmarkStart w:id="17" w:name="_Hlk517086589"/>
      <w:r>
        <w:rPr>
          <w:rFonts w:ascii="新細明體" w:hAnsi="新細明體" w:cs="DFKaiShu-SB-Estd-BF" w:hint="eastAsia"/>
        </w:rPr>
        <w:t>住宅單位平均成交價</w:t>
      </w:r>
      <w:r>
        <w:rPr>
          <w:rFonts w:ascii="新細明體" w:hAnsi="新細明體" w:cs="新細明體" w:hint="eastAsia"/>
        </w:rPr>
        <w:t>按</w:t>
      </w:r>
      <w:r>
        <w:rPr>
          <w:rFonts w:ascii="新細明體" w:hAnsi="新細明體" w:cs="DFKaiShu-SB-Estd-BF" w:hint="eastAsia"/>
        </w:rPr>
        <w:t>季下跌</w:t>
      </w:r>
      <w:r>
        <w:t>4.2%</w:t>
      </w:r>
      <w:r>
        <w:rPr>
          <w:rFonts w:ascii="新細明體" w:hAnsi="新細明體" w:cs="新細明體" w:hint="eastAsia"/>
        </w:rPr>
        <w:t>，</w:t>
      </w:r>
      <w:r>
        <w:rPr>
          <w:rFonts w:ascii="新細明體" w:hAnsi="新細明體" w:cs="DFKaiShu-SB-Estd-BF" w:hint="eastAsia"/>
        </w:rPr>
        <w:t>每平方米為</w:t>
      </w:r>
      <w:r>
        <w:t>107</w:t>
      </w:r>
      <w:r>
        <w:rPr>
          <w:rFonts w:hint="eastAsia"/>
        </w:rPr>
        <w:t>,</w:t>
      </w:r>
      <w:r>
        <w:t>571</w:t>
      </w:r>
      <w:r>
        <w:rPr>
          <w:rFonts w:ascii="新細明體" w:hAnsi="新細明體" w:cs="DFKaiShu-SB-Estd-BF" w:hint="eastAsia"/>
        </w:rPr>
        <w:t>澳門元。其中單位面積</w:t>
      </w:r>
      <w:proofErr w:type="gramStart"/>
      <w:r>
        <w:rPr>
          <w:rFonts w:ascii="新細明體" w:hAnsi="新細明體" w:cs="DFKaiShu-SB-Estd-BF" w:hint="eastAsia"/>
        </w:rPr>
        <w:t>介</w:t>
      </w:r>
      <w:proofErr w:type="gramEnd"/>
      <w:r>
        <w:rPr>
          <w:rFonts w:ascii="新細明體" w:hAnsi="新細明體" w:cs="DFKaiShu-SB-Estd-BF" w:hint="eastAsia"/>
        </w:rPr>
        <w:t>乎</w:t>
      </w:r>
      <w:r>
        <w:rPr>
          <w:rFonts w:hint="eastAsia"/>
        </w:rPr>
        <w:t>50</w:t>
      </w:r>
      <w:r>
        <w:rPr>
          <w:rFonts w:hint="eastAsia"/>
        </w:rPr>
        <w:t>和</w:t>
      </w:r>
      <w:r>
        <w:rPr>
          <w:rFonts w:hint="eastAsia"/>
        </w:rPr>
        <w:t>99.9</w:t>
      </w:r>
      <w:r>
        <w:rPr>
          <w:rFonts w:ascii="新細明體" w:hAnsi="新細明體" w:cs="DFKaiShu-SB-Estd-BF" w:hint="eastAsia"/>
        </w:rPr>
        <w:t>平方米，平均成交價</w:t>
      </w:r>
      <w:r>
        <w:rPr>
          <w:rFonts w:ascii="新細明體" w:hAnsi="新細明體" w:cs="新細明體" w:hint="eastAsia"/>
        </w:rPr>
        <w:t>按</w:t>
      </w:r>
      <w:r>
        <w:rPr>
          <w:rFonts w:ascii="新細明體" w:hAnsi="新細明體" w:cs="DFKaiShu-SB-Estd-BF" w:hint="eastAsia"/>
        </w:rPr>
        <w:t>季下跌</w:t>
      </w:r>
      <w:r>
        <w:t>0.6%</w:t>
      </w:r>
      <w:r>
        <w:rPr>
          <w:rFonts w:ascii="新細明體" w:hAnsi="新細明體" w:cs="DFKaiShu-SB-Estd-BF" w:hint="eastAsia"/>
        </w:rPr>
        <w:t>，</w:t>
      </w:r>
      <w:r>
        <w:rPr>
          <w:rFonts w:hint="eastAsia"/>
        </w:rPr>
        <w:t>至</w:t>
      </w:r>
      <w:r>
        <w:rPr>
          <w:rFonts w:ascii="新細明體" w:hAnsi="新細明體" w:cs="DFKaiShu-SB-Estd-BF" w:hint="eastAsia"/>
        </w:rPr>
        <w:t>每平方米</w:t>
      </w:r>
      <w:r>
        <w:t>103</w:t>
      </w:r>
      <w:r>
        <w:rPr>
          <w:rFonts w:hint="eastAsia"/>
        </w:rPr>
        <w:t>,</w:t>
      </w:r>
      <w:r>
        <w:t>728</w:t>
      </w:r>
      <w:r>
        <w:rPr>
          <w:rFonts w:ascii="新細明體" w:hAnsi="新細明體" w:cs="DFKaiShu-SB-Estd-BF" w:hint="eastAsia"/>
        </w:rPr>
        <w:t>澳門元</w:t>
      </w:r>
      <w:bookmarkEnd w:id="17"/>
      <w:r w:rsidR="00CB1799" w:rsidRPr="00CB1799">
        <w:rPr>
          <w:rFonts w:hint="eastAsia"/>
          <w:kern w:val="0"/>
          <w:szCs w:val="24"/>
        </w:rPr>
        <w:t>。</w:t>
      </w:r>
    </w:p>
    <w:p w:rsidR="00CB1799" w:rsidRPr="00CB1799" w:rsidRDefault="00240DA0" w:rsidP="00CB1799">
      <w:pPr>
        <w:numPr>
          <w:ilvl w:val="0"/>
          <w:numId w:val="4"/>
        </w:numPr>
        <w:adjustRightInd w:val="0"/>
        <w:snapToGrid w:val="0"/>
        <w:spacing w:line="320" w:lineRule="exact"/>
        <w:jc w:val="both"/>
        <w:textAlignment w:val="baseline"/>
        <w:rPr>
          <w:kern w:val="0"/>
          <w:szCs w:val="24"/>
          <w:lang w:val="en-GB"/>
        </w:rPr>
      </w:pPr>
      <w:bookmarkStart w:id="18" w:name="_Hlk517086610"/>
      <w:r>
        <w:rPr>
          <w:rFonts w:ascii="新細明體" w:hAnsi="新細明體" w:cs="新細明體" w:hint="eastAsia"/>
        </w:rPr>
        <w:t>隨着本地居民需求增加，</w:t>
      </w:r>
      <w:r>
        <w:rPr>
          <w:rFonts w:ascii="新細明體" w:hAnsi="新細明體" w:cs="DFKaiShu-SB-Estd-BF" w:hint="eastAsia"/>
        </w:rPr>
        <w:t>澳門</w:t>
      </w:r>
      <w:r>
        <w:rPr>
          <w:rFonts w:ascii="新細明體" w:hAnsi="新細明體" w:cs="新細明體" w:hint="eastAsia"/>
        </w:rPr>
        <w:t>通漲</w:t>
      </w:r>
      <w:r w:rsidRPr="00DC134D">
        <w:rPr>
          <w:rFonts w:ascii="新細明體" w:hAnsi="新細明體" w:cs="新細明體" w:hint="eastAsia"/>
        </w:rPr>
        <w:t>率</w:t>
      </w:r>
      <w:r>
        <w:rPr>
          <w:rFonts w:ascii="新細明體" w:hAnsi="新細明體" w:cs="新細明體" w:hint="eastAsia"/>
        </w:rPr>
        <w:t>逐步上升。</w:t>
      </w:r>
      <w:r>
        <w:t>2018</w:t>
      </w:r>
      <w:r>
        <w:rPr>
          <w:rFonts w:hint="eastAsia"/>
        </w:rPr>
        <w:t>年</w:t>
      </w:r>
      <w:r>
        <w:t>7</w:t>
      </w:r>
      <w:r>
        <w:rPr>
          <w:rFonts w:ascii="新細明體" w:hAnsi="新細明體" w:cs="新細明體" w:hint="eastAsia"/>
        </w:rPr>
        <w:t>月份綜合消費物價指數</w:t>
      </w:r>
      <w:r>
        <w:rPr>
          <w:rFonts w:ascii="新細明體" w:hAnsi="新細明體" w:cs="DFKaiShu-SB-Estd-BF" w:hint="eastAsia"/>
        </w:rPr>
        <w:t>按</w:t>
      </w:r>
      <w:r>
        <w:rPr>
          <w:rFonts w:ascii="新細明體" w:hAnsi="新細明體" w:cs="新細明體" w:hint="eastAsia"/>
        </w:rPr>
        <w:t>年上升</w:t>
      </w:r>
      <w:r>
        <w:t>3.3%</w:t>
      </w:r>
      <w:r>
        <w:rPr>
          <w:rFonts w:ascii="新細明體" w:hAnsi="新細明體" w:cs="新細明體" w:hint="eastAsia"/>
        </w:rPr>
        <w:t>，其中兩大主要成份，食物及非酒精飲品和住屋及燃料，分別按年上升</w:t>
      </w:r>
      <w:r>
        <w:rPr>
          <w:rFonts w:hint="eastAsia"/>
        </w:rPr>
        <w:t>2.</w:t>
      </w:r>
      <w:r>
        <w:t>7%</w:t>
      </w:r>
      <w:r>
        <w:rPr>
          <w:rFonts w:hint="eastAsia"/>
        </w:rPr>
        <w:t>和</w:t>
      </w:r>
      <w:r>
        <w:t>2.4%</w:t>
      </w:r>
      <w:r>
        <w:rPr>
          <w:rFonts w:ascii="新細明體" w:hAnsi="新細明體" w:cs="新細明體" w:hint="eastAsia"/>
        </w:rPr>
        <w:t>。而就總體經濟而言，本地生產總值平減物價指數，跟消費物價指數同步，</w:t>
      </w:r>
      <w:r>
        <w:t>20</w:t>
      </w:r>
      <w:r>
        <w:rPr>
          <w:rFonts w:hint="eastAsia"/>
        </w:rPr>
        <w:t>1</w:t>
      </w:r>
      <w:r>
        <w:t>8</w:t>
      </w:r>
      <w:r>
        <w:rPr>
          <w:rFonts w:ascii="新細明體" w:hAnsi="新細明體" w:cs="新細明體" w:hint="eastAsia"/>
        </w:rPr>
        <w:t>年</w:t>
      </w:r>
      <w:r>
        <w:rPr>
          <w:rFonts w:ascii="新細明體" w:hAnsi="新細明體" w:cs="DFKaiShu-SB-Estd-BF" w:hint="eastAsia"/>
        </w:rPr>
        <w:t>第</w:t>
      </w:r>
      <w:r>
        <w:t>2</w:t>
      </w:r>
      <w:r>
        <w:rPr>
          <w:rFonts w:ascii="新細明體" w:hAnsi="新細明體" w:cs="DFKaiShu-SB-Estd-BF" w:hint="eastAsia"/>
        </w:rPr>
        <w:t>季</w:t>
      </w:r>
      <w:r>
        <w:rPr>
          <w:rFonts w:ascii="新細明體" w:hAnsi="新細明體" w:cs="新細明體" w:hint="eastAsia"/>
        </w:rPr>
        <w:t>按年上升</w:t>
      </w:r>
      <w:r>
        <w:t>3.5%</w:t>
      </w:r>
      <w:bookmarkEnd w:id="18"/>
      <w:r w:rsidR="00CB1799" w:rsidRPr="00CB1799">
        <w:rPr>
          <w:rFonts w:hint="eastAsia"/>
          <w:kern w:val="0"/>
          <w:szCs w:val="24"/>
        </w:rPr>
        <w:t>。</w:t>
      </w:r>
    </w:p>
    <w:p w:rsidR="00CB1799" w:rsidRPr="00CB1799" w:rsidRDefault="00240DA0" w:rsidP="00CB1799">
      <w:pPr>
        <w:numPr>
          <w:ilvl w:val="0"/>
          <w:numId w:val="4"/>
        </w:numPr>
        <w:adjustRightInd w:val="0"/>
        <w:snapToGrid w:val="0"/>
        <w:spacing w:line="320" w:lineRule="exact"/>
        <w:jc w:val="both"/>
        <w:textAlignment w:val="baseline"/>
        <w:rPr>
          <w:kern w:val="0"/>
          <w:szCs w:val="24"/>
          <w:lang w:val="en-GB"/>
        </w:rPr>
      </w:pPr>
      <w:bookmarkStart w:id="19" w:name="_Hlk517086637"/>
      <w:r>
        <w:rPr>
          <w:rFonts w:ascii="新細明體" w:hAnsi="新細明體" w:cs="新細明體" w:hint="eastAsia"/>
        </w:rPr>
        <w:t>就業市場</w:t>
      </w:r>
      <w:r w:rsidRPr="009658DF">
        <w:rPr>
          <w:rFonts w:ascii="新細明體" w:hAnsi="新細明體" w:cs="新細明體" w:hint="eastAsia"/>
        </w:rPr>
        <w:t>持續緊張</w:t>
      </w:r>
      <w:r>
        <w:rPr>
          <w:rFonts w:ascii="新細明體" w:hAnsi="新細明體" w:cs="新細明體" w:hint="eastAsia"/>
        </w:rPr>
        <w:t>。</w:t>
      </w:r>
      <w:r>
        <w:t>20</w:t>
      </w:r>
      <w:r>
        <w:rPr>
          <w:rFonts w:hint="eastAsia"/>
        </w:rPr>
        <w:t>1</w:t>
      </w:r>
      <w:r>
        <w:t>8</w:t>
      </w:r>
      <w:r>
        <w:rPr>
          <w:rFonts w:ascii="新細明體" w:hAnsi="新細明體" w:cs="新細明體" w:hint="eastAsia"/>
        </w:rPr>
        <w:t>年第</w:t>
      </w:r>
      <w:r>
        <w:t>2</w:t>
      </w:r>
      <w:r>
        <w:rPr>
          <w:rFonts w:ascii="新細明體" w:hAnsi="新細明體" w:cs="新細明體" w:hint="eastAsia"/>
        </w:rPr>
        <w:t>季整體失業率為</w:t>
      </w:r>
      <w:r>
        <w:t>1</w:t>
      </w:r>
      <w:r>
        <w:rPr>
          <w:rFonts w:hint="eastAsia"/>
        </w:rPr>
        <w:t>.</w:t>
      </w:r>
      <w:r>
        <w:t>8%</w:t>
      </w:r>
      <w:r>
        <w:rPr>
          <w:rFonts w:ascii="新細明體" w:hAnsi="新細明體" w:cs="新細明體" w:hint="eastAsia"/>
        </w:rPr>
        <w:t>，</w:t>
      </w:r>
      <w:r w:rsidRPr="009658DF">
        <w:rPr>
          <w:rFonts w:ascii="新細明體" w:hAnsi="新細明體" w:cs="新細明體" w:hint="eastAsia"/>
        </w:rPr>
        <w:t>比</w:t>
      </w:r>
      <w:r>
        <w:t>20</w:t>
      </w:r>
      <w:r>
        <w:rPr>
          <w:rFonts w:hint="eastAsia"/>
        </w:rPr>
        <w:t>1</w:t>
      </w:r>
      <w:r>
        <w:t>8</w:t>
      </w:r>
      <w:r>
        <w:rPr>
          <w:rFonts w:ascii="新細明體" w:hAnsi="新細明體" w:cs="新細明體" w:hint="eastAsia"/>
        </w:rPr>
        <w:t>年第</w:t>
      </w:r>
      <w:r>
        <w:t>1</w:t>
      </w:r>
      <w:r>
        <w:rPr>
          <w:rFonts w:ascii="新細明體" w:hAnsi="新細明體" w:cs="新細明體" w:hint="eastAsia"/>
        </w:rPr>
        <w:t>季</w:t>
      </w:r>
      <w:r w:rsidRPr="009658DF">
        <w:rPr>
          <w:rFonts w:ascii="新細明體" w:hAnsi="新細明體" w:cs="新細明體" w:hint="eastAsia"/>
        </w:rPr>
        <w:t>下降</w:t>
      </w:r>
      <w:r>
        <w:t>0.1</w:t>
      </w:r>
      <w:r>
        <w:rPr>
          <w:rFonts w:hint="eastAsia"/>
        </w:rPr>
        <w:t>個</w:t>
      </w:r>
      <w:r>
        <w:rPr>
          <w:rFonts w:ascii="新細明體" w:hAnsi="新細明體" w:cs="新細明體" w:hint="eastAsia"/>
        </w:rPr>
        <w:t>百份點。扣除非本地勞動力，</w:t>
      </w:r>
      <w:r>
        <w:t>20</w:t>
      </w:r>
      <w:r>
        <w:rPr>
          <w:rFonts w:hint="eastAsia"/>
        </w:rPr>
        <w:t>1</w:t>
      </w:r>
      <w:r>
        <w:t>8</w:t>
      </w:r>
      <w:r>
        <w:rPr>
          <w:rFonts w:ascii="新細明體" w:hAnsi="新細明體" w:cs="新細明體" w:hint="eastAsia"/>
        </w:rPr>
        <w:t>年</w:t>
      </w:r>
      <w:r w:rsidR="00C9151B">
        <w:t>2</w:t>
      </w:r>
      <w:r>
        <w:rPr>
          <w:rFonts w:ascii="新細明體" w:hAnsi="新細明體" w:cs="新細明體" w:hint="eastAsia"/>
        </w:rPr>
        <w:t>季本地居民失業率為</w:t>
      </w:r>
      <w:r>
        <w:t>2.4%</w:t>
      </w:r>
      <w:r>
        <w:t>，</w:t>
      </w:r>
      <w:r>
        <w:rPr>
          <w:rFonts w:ascii="新細明體" w:hAnsi="新細明體" w:cs="新細明體" w:hint="eastAsia"/>
        </w:rPr>
        <w:t>較</w:t>
      </w:r>
      <w:r>
        <w:t>20</w:t>
      </w:r>
      <w:r>
        <w:rPr>
          <w:rFonts w:hint="eastAsia"/>
        </w:rPr>
        <w:t>1</w:t>
      </w:r>
      <w:r>
        <w:t>8</w:t>
      </w:r>
      <w:r>
        <w:rPr>
          <w:rFonts w:ascii="新細明體" w:hAnsi="新細明體" w:cs="新細明體" w:hint="eastAsia"/>
        </w:rPr>
        <w:t>年第</w:t>
      </w:r>
      <w:r>
        <w:t>1</w:t>
      </w:r>
      <w:r>
        <w:rPr>
          <w:rFonts w:ascii="新細明體" w:hAnsi="新細明體" w:cs="新細明體" w:hint="eastAsia"/>
        </w:rPr>
        <w:t>季</w:t>
      </w:r>
      <w:r w:rsidRPr="009658DF">
        <w:rPr>
          <w:rFonts w:ascii="新細明體" w:hAnsi="新細明體" w:cs="新細明體" w:hint="eastAsia"/>
        </w:rPr>
        <w:t>下降</w:t>
      </w:r>
      <w:r>
        <w:t>0.2</w:t>
      </w:r>
      <w:r>
        <w:rPr>
          <w:rFonts w:hint="eastAsia"/>
        </w:rPr>
        <w:t>個</w:t>
      </w:r>
      <w:r>
        <w:rPr>
          <w:rFonts w:ascii="新細明體" w:hAnsi="新細明體" w:cs="新細明體" w:hint="eastAsia"/>
        </w:rPr>
        <w:t>百份點</w:t>
      </w:r>
      <w:bookmarkEnd w:id="19"/>
      <w:r w:rsidR="00CB1799" w:rsidRPr="00CB1799">
        <w:rPr>
          <w:rFonts w:hint="eastAsia"/>
          <w:kern w:val="0"/>
          <w:szCs w:val="24"/>
          <w:lang w:val="en-GB"/>
        </w:rPr>
        <w:t>。</w:t>
      </w:r>
    </w:p>
    <w:p w:rsidR="00CB1799" w:rsidRPr="00CB1799" w:rsidRDefault="00240DA0" w:rsidP="00CB1799">
      <w:pPr>
        <w:numPr>
          <w:ilvl w:val="0"/>
          <w:numId w:val="4"/>
        </w:numPr>
        <w:adjustRightInd w:val="0"/>
        <w:snapToGrid w:val="0"/>
        <w:spacing w:line="320" w:lineRule="exact"/>
        <w:jc w:val="both"/>
        <w:textAlignment w:val="baseline"/>
        <w:rPr>
          <w:kern w:val="0"/>
          <w:szCs w:val="24"/>
          <w:lang w:val="en-GB"/>
        </w:rPr>
      </w:pPr>
      <w:bookmarkStart w:id="20" w:name="_Hlk517086660"/>
      <w:r>
        <w:t>20</w:t>
      </w:r>
      <w:r>
        <w:rPr>
          <w:rFonts w:hint="eastAsia"/>
        </w:rPr>
        <w:t>1</w:t>
      </w:r>
      <w:r>
        <w:t>8</w:t>
      </w:r>
      <w:r>
        <w:rPr>
          <w:rFonts w:ascii="新細明體" w:hAnsi="新細明體" w:cs="新細明體" w:hint="eastAsia"/>
        </w:rPr>
        <w:t>年第</w:t>
      </w:r>
      <w:r>
        <w:t>2</w:t>
      </w:r>
      <w:r>
        <w:rPr>
          <w:rFonts w:ascii="新細明體" w:hAnsi="新細明體" w:cs="新細明體" w:hint="eastAsia"/>
        </w:rPr>
        <w:t>季，整體就業人口</w:t>
      </w:r>
      <w:r>
        <w:rPr>
          <w:rFonts w:ascii="新細明體" w:hAnsi="新細明體" w:cs="DFKaiShu-SB-Estd-BF" w:hint="eastAsia"/>
        </w:rPr>
        <w:t>按</w:t>
      </w:r>
      <w:r>
        <w:rPr>
          <w:rFonts w:ascii="新細明體" w:hAnsi="新細明體" w:cs="新細明體" w:hint="eastAsia"/>
        </w:rPr>
        <w:t>年</w:t>
      </w:r>
      <w:r>
        <w:rPr>
          <w:rFonts w:ascii="新細明體" w:hAnsi="新細明體" w:cs="DFKaiShu-SB-Estd-BF" w:hint="eastAsia"/>
        </w:rPr>
        <w:t>增加</w:t>
      </w:r>
      <w:r>
        <w:rPr>
          <w:rFonts w:hint="eastAsia"/>
        </w:rPr>
        <w:t>0.</w:t>
      </w:r>
      <w:r>
        <w:t>8%</w:t>
      </w:r>
      <w:r>
        <w:rPr>
          <w:rFonts w:ascii="新細明體" w:hAnsi="新細明體" w:cs="新細明體" w:hint="eastAsia"/>
        </w:rPr>
        <w:t>至</w:t>
      </w:r>
      <w:r>
        <w:rPr>
          <w:rFonts w:hint="eastAsia"/>
        </w:rPr>
        <w:t>3</w:t>
      </w:r>
      <w:r>
        <w:t>8</w:t>
      </w:r>
      <w:r>
        <w:rPr>
          <w:rFonts w:hint="eastAsia"/>
        </w:rPr>
        <w:t>.</w:t>
      </w:r>
      <w:r>
        <w:t>5</w:t>
      </w:r>
      <w:r>
        <w:rPr>
          <w:rFonts w:ascii="新細明體" w:hAnsi="新細明體" w:cs="新細明體" w:hint="eastAsia"/>
        </w:rPr>
        <w:t>萬，而本地居民就業人口則</w:t>
      </w:r>
      <w:r>
        <w:rPr>
          <w:rFonts w:ascii="新細明體" w:hAnsi="新細明體" w:cs="DFKaiShu-SB-Estd-BF" w:hint="eastAsia"/>
        </w:rPr>
        <w:t>按</w:t>
      </w:r>
      <w:r>
        <w:rPr>
          <w:rFonts w:ascii="新細明體" w:hAnsi="新細明體" w:cs="新細明體" w:hint="eastAsia"/>
        </w:rPr>
        <w:t>年</w:t>
      </w:r>
      <w:r>
        <w:rPr>
          <w:rFonts w:ascii="新細明體" w:hAnsi="新細明體" w:cs="DFKaiShu-SB-Estd-BF" w:hint="eastAsia"/>
        </w:rPr>
        <w:t>增加</w:t>
      </w:r>
      <w:r>
        <w:t>1.1%</w:t>
      </w:r>
      <w:r>
        <w:rPr>
          <w:rFonts w:ascii="新細明體" w:hAnsi="新細明體" w:cs="新細明體" w:hint="eastAsia"/>
        </w:rPr>
        <w:t>至</w:t>
      </w:r>
      <w:r>
        <w:rPr>
          <w:rFonts w:hint="eastAsia"/>
        </w:rPr>
        <w:t>2</w:t>
      </w:r>
      <w:r>
        <w:t>8.4</w:t>
      </w:r>
      <w:r>
        <w:rPr>
          <w:rFonts w:ascii="新細明體" w:hAnsi="新細明體" w:cs="新細明體" w:hint="eastAsia"/>
        </w:rPr>
        <w:t>萬</w:t>
      </w:r>
      <w:bookmarkEnd w:id="20"/>
      <w:r w:rsidR="00CB1799" w:rsidRPr="00CB1799">
        <w:rPr>
          <w:rFonts w:hint="eastAsia"/>
          <w:kern w:val="0"/>
          <w:szCs w:val="24"/>
          <w:lang w:val="en-GB"/>
        </w:rPr>
        <w:t>。按產業分析，</w:t>
      </w:r>
      <w:r>
        <w:rPr>
          <w:rFonts w:hint="eastAsia"/>
        </w:rPr>
        <w:t>批發及零售業</w:t>
      </w:r>
      <w:r>
        <w:rPr>
          <w:rFonts w:ascii="新細明體" w:hAnsi="新細明體" w:cs="新細明體" w:hint="eastAsia"/>
        </w:rPr>
        <w:t>的整體就業人口為</w:t>
      </w:r>
      <w:r>
        <w:rPr>
          <w:rFonts w:hint="eastAsia"/>
        </w:rPr>
        <w:t>4</w:t>
      </w:r>
      <w:r>
        <w:t>.5</w:t>
      </w:r>
      <w:r>
        <w:rPr>
          <w:rFonts w:ascii="新細明體" w:hAnsi="新細明體" w:cs="新細明體" w:hint="eastAsia"/>
        </w:rPr>
        <w:t>萬，按年</w:t>
      </w:r>
      <w:r>
        <w:rPr>
          <w:rFonts w:hint="eastAsia"/>
        </w:rPr>
        <w:t>下跌</w:t>
      </w:r>
      <w:r>
        <w:t>3.8%</w:t>
      </w:r>
      <w:r>
        <w:rPr>
          <w:rFonts w:ascii="新細明體" w:hAnsi="新細明體" w:cs="新細明體" w:hint="eastAsia"/>
        </w:rPr>
        <w:t>，而</w:t>
      </w:r>
      <w:r>
        <w:rPr>
          <w:rFonts w:hint="eastAsia"/>
        </w:rPr>
        <w:t>酒店及飲食業</w:t>
      </w:r>
      <w:r>
        <w:rPr>
          <w:rFonts w:ascii="新細明體" w:hAnsi="新細明體" w:cs="新細明體" w:hint="eastAsia"/>
        </w:rPr>
        <w:t>的整體就業人口則按年上升</w:t>
      </w:r>
      <w:r>
        <w:t>1.6%</w:t>
      </w:r>
      <w:r>
        <w:rPr>
          <w:rFonts w:ascii="新細明體" w:hAnsi="新細明體" w:cs="新細明體" w:hint="eastAsia"/>
        </w:rPr>
        <w:t>至</w:t>
      </w:r>
      <w:r>
        <w:rPr>
          <w:rFonts w:hint="eastAsia"/>
        </w:rPr>
        <w:t>5</w:t>
      </w:r>
      <w:r>
        <w:t>.6</w:t>
      </w:r>
      <w:r>
        <w:rPr>
          <w:rFonts w:ascii="新細明體" w:hAnsi="新細明體" w:cs="新細明體" w:hint="eastAsia"/>
        </w:rPr>
        <w:t>萬。</w:t>
      </w:r>
      <w:r>
        <w:rPr>
          <w:rFonts w:hint="eastAsia"/>
        </w:rPr>
        <w:t>隨着主要賭場及酒店工程完成</w:t>
      </w:r>
      <w:r>
        <w:rPr>
          <w:rFonts w:ascii="新細明體" w:hAnsi="新細明體" w:cs="新細明體" w:hint="eastAsia"/>
        </w:rPr>
        <w:t>，建築業整體就業人口按年</w:t>
      </w:r>
      <w:r>
        <w:rPr>
          <w:rFonts w:hint="eastAsia"/>
        </w:rPr>
        <w:t>下跌</w:t>
      </w:r>
      <w:r>
        <w:t>8.0%</w:t>
      </w:r>
      <w:r>
        <w:rPr>
          <w:rFonts w:ascii="新細明體" w:hAnsi="新細明體" w:cs="新細明體" w:hint="eastAsia"/>
        </w:rPr>
        <w:t>至</w:t>
      </w:r>
      <w:r>
        <w:t>3.2</w:t>
      </w:r>
      <w:r>
        <w:rPr>
          <w:rFonts w:ascii="新細明體" w:hAnsi="新細明體" w:cs="新細明體" w:hint="eastAsia"/>
        </w:rPr>
        <w:t>萬。</w:t>
      </w:r>
      <w:r w:rsidRPr="005D1621">
        <w:rPr>
          <w:rFonts w:ascii="新細明體" w:hAnsi="新細明體" w:cs="新細明體" w:hint="eastAsia"/>
        </w:rPr>
        <w:t>隨着博彩業</w:t>
      </w:r>
      <w:r>
        <w:rPr>
          <w:rFonts w:hint="eastAsia"/>
          <w:bCs/>
        </w:rPr>
        <w:t>復甦</w:t>
      </w:r>
      <w:r>
        <w:rPr>
          <w:rFonts w:ascii="新細明體" w:hAnsi="新細明體" w:cs="新細明體" w:hint="eastAsia"/>
        </w:rPr>
        <w:t>，博彩業整體就業人口為</w:t>
      </w:r>
      <w:r>
        <w:rPr>
          <w:rFonts w:hint="eastAsia"/>
        </w:rPr>
        <w:t>8</w:t>
      </w:r>
      <w:r>
        <w:t>.5</w:t>
      </w:r>
      <w:r>
        <w:rPr>
          <w:rFonts w:ascii="新細明體" w:hAnsi="新細明體" w:cs="新細明體" w:hint="eastAsia"/>
        </w:rPr>
        <w:t>萬，按年上升</w:t>
      </w:r>
      <w:r>
        <w:t>5.3%</w:t>
      </w:r>
      <w:r w:rsidR="00CB1799" w:rsidRPr="00CB1799">
        <w:rPr>
          <w:rFonts w:hint="eastAsia"/>
          <w:kern w:val="0"/>
          <w:szCs w:val="24"/>
        </w:rPr>
        <w:t>。</w:t>
      </w:r>
    </w:p>
    <w:p w:rsidR="00CB1799" w:rsidRPr="002E57DB" w:rsidRDefault="00240DA0" w:rsidP="00CB1799">
      <w:pPr>
        <w:numPr>
          <w:ilvl w:val="0"/>
          <w:numId w:val="4"/>
        </w:numPr>
        <w:adjustRightInd w:val="0"/>
        <w:snapToGrid w:val="0"/>
        <w:spacing w:line="320" w:lineRule="exact"/>
        <w:jc w:val="both"/>
        <w:textAlignment w:val="baseline"/>
        <w:rPr>
          <w:b/>
          <w:kern w:val="0"/>
          <w:szCs w:val="24"/>
          <w:u w:val="single"/>
          <w:lang w:val="en-GB"/>
        </w:rPr>
      </w:pPr>
      <w:bookmarkStart w:id="21" w:name="_Hlk517086697"/>
      <w:r>
        <w:rPr>
          <w:rFonts w:ascii="新細明體" w:hAnsi="新細明體" w:cs="新細明體" w:hint="eastAsia"/>
        </w:rPr>
        <w:t>僱員每月工作收入中位數</w:t>
      </w:r>
      <w:r w:rsidRPr="000D4F6A">
        <w:rPr>
          <w:rFonts w:ascii="新細明體" w:hAnsi="新細明體" w:cs="新細明體" w:hint="eastAsia"/>
        </w:rPr>
        <w:t>再次上升</w:t>
      </w:r>
      <w:r>
        <w:rPr>
          <w:rFonts w:ascii="新細明體" w:hAnsi="新細明體" w:cs="新細明體" w:hint="eastAsia"/>
        </w:rPr>
        <w:t>，</w:t>
      </w:r>
      <w:r>
        <w:t>20</w:t>
      </w:r>
      <w:r>
        <w:rPr>
          <w:rFonts w:hint="eastAsia"/>
        </w:rPr>
        <w:t>1</w:t>
      </w:r>
      <w:r>
        <w:t>8</w:t>
      </w:r>
      <w:r>
        <w:rPr>
          <w:rFonts w:ascii="新細明體" w:hAnsi="新細明體" w:cs="新細明體" w:hint="eastAsia"/>
        </w:rPr>
        <w:t>年第</w:t>
      </w:r>
      <w:r>
        <w:t>2</w:t>
      </w:r>
      <w:r>
        <w:rPr>
          <w:rFonts w:ascii="新細明體" w:hAnsi="新細明體" w:cs="新細明體" w:hint="eastAsia"/>
        </w:rPr>
        <w:t>季為</w:t>
      </w:r>
      <w:r>
        <w:t>16</w:t>
      </w:r>
      <w:r>
        <w:rPr>
          <w:rFonts w:hint="eastAsia"/>
        </w:rPr>
        <w:t>,</w:t>
      </w:r>
      <w:r>
        <w:t>000</w:t>
      </w:r>
      <w:r>
        <w:rPr>
          <w:rFonts w:hint="eastAsia"/>
        </w:rPr>
        <w:t>澳門</w:t>
      </w:r>
      <w:r>
        <w:rPr>
          <w:rFonts w:ascii="新細明體" w:hAnsi="新細明體" w:cs="新細明體" w:hint="eastAsia"/>
        </w:rPr>
        <w:t>元，按年</w:t>
      </w:r>
      <w:r>
        <w:t>增</w:t>
      </w:r>
      <w:r>
        <w:lastRenderedPageBreak/>
        <w:t>加</w:t>
      </w:r>
      <w:r>
        <w:t>6.7%</w:t>
      </w:r>
      <w:r>
        <w:rPr>
          <w:rFonts w:ascii="新細明體" w:hAnsi="新細明體" w:cs="新細明體" w:hint="eastAsia"/>
        </w:rPr>
        <w:t>。其中</w:t>
      </w:r>
      <w:proofErr w:type="gramStart"/>
      <w:r>
        <w:rPr>
          <w:rFonts w:ascii="新細明體" w:hAnsi="新細明體" w:cs="新細明體" w:hint="eastAsia"/>
        </w:rPr>
        <w:t>佔</w:t>
      </w:r>
      <w:proofErr w:type="gramEnd"/>
      <w:r>
        <w:rPr>
          <w:rFonts w:ascii="新細明體" w:hAnsi="新細明體" w:cs="新細明體" w:hint="eastAsia"/>
        </w:rPr>
        <w:t>就業人口最大部份的</w:t>
      </w:r>
      <w:proofErr w:type="gramStart"/>
      <w:r>
        <w:rPr>
          <w:rFonts w:ascii="新細明體" w:hAnsi="新細明體" w:cs="新細明體" w:hint="eastAsia"/>
        </w:rPr>
        <w:t>博彩業</w:t>
      </w:r>
      <w:proofErr w:type="gramEnd"/>
      <w:r>
        <w:rPr>
          <w:rFonts w:ascii="新細明體" w:hAnsi="新細明體" w:cs="新細明體" w:hint="eastAsia"/>
        </w:rPr>
        <w:t>，僱員每月工作收入中位數為</w:t>
      </w:r>
      <w:r>
        <w:t>20</w:t>
      </w:r>
      <w:r>
        <w:rPr>
          <w:rFonts w:hint="eastAsia"/>
        </w:rPr>
        <w:t>,0</w:t>
      </w:r>
      <w:r>
        <w:t>00</w:t>
      </w:r>
      <w:r>
        <w:rPr>
          <w:rFonts w:ascii="新細明體" w:hAnsi="新細明體" w:cs="新細明體" w:hint="eastAsia"/>
        </w:rPr>
        <w:t>澳門元，按年</w:t>
      </w:r>
      <w:r w:rsidRPr="000D4F6A">
        <w:rPr>
          <w:rFonts w:ascii="新細明體" w:hAnsi="新細明體" w:cs="新細明體" w:hint="eastAsia"/>
        </w:rPr>
        <w:t>上升</w:t>
      </w:r>
      <w:r>
        <w:t>5.3%</w:t>
      </w:r>
      <w:r>
        <w:rPr>
          <w:rFonts w:ascii="新細明體" w:hAnsi="新細明體" w:cs="新細明體" w:hint="eastAsia"/>
        </w:rPr>
        <w:t>。</w:t>
      </w:r>
      <w:r>
        <w:rPr>
          <w:rFonts w:hint="eastAsia"/>
        </w:rPr>
        <w:t>其他較多就業人口的行業</w:t>
      </w:r>
      <w:r>
        <w:rPr>
          <w:rFonts w:ascii="新細明體" w:hAnsi="新細明體" w:cs="MicrosoftJhengHeiRegular" w:hint="eastAsia"/>
        </w:rPr>
        <w:t>如</w:t>
      </w:r>
      <w:r>
        <w:rPr>
          <w:rFonts w:hint="eastAsia"/>
        </w:rPr>
        <w:t>批發及零售業，</w:t>
      </w:r>
      <w:r>
        <w:rPr>
          <w:rFonts w:ascii="新細明體" w:hAnsi="新細明體" w:cs="新細明體" w:hint="eastAsia"/>
        </w:rPr>
        <w:t>僱員每月工作收入中位數為</w:t>
      </w:r>
      <w:r>
        <w:rPr>
          <w:rFonts w:hint="eastAsia"/>
        </w:rPr>
        <w:t>1</w:t>
      </w:r>
      <w:r>
        <w:t>4,</w:t>
      </w:r>
      <w:r>
        <w:rPr>
          <w:rFonts w:hint="eastAsia"/>
        </w:rPr>
        <w:t>0</w:t>
      </w:r>
      <w:r>
        <w:t>00</w:t>
      </w:r>
      <w:r>
        <w:rPr>
          <w:rFonts w:ascii="新細明體" w:hAnsi="新細明體" w:cs="新細明體" w:hint="eastAsia"/>
        </w:rPr>
        <w:t>澳門元，按年</w:t>
      </w:r>
      <w:r>
        <w:t>增加</w:t>
      </w:r>
      <w:r>
        <w:t>7.7%</w:t>
      </w:r>
      <w:r>
        <w:rPr>
          <w:rFonts w:ascii="新細明體" w:hAnsi="新細明體" w:cs="新細明體" w:hint="eastAsia"/>
        </w:rPr>
        <w:t>；</w:t>
      </w:r>
      <w:r>
        <w:rPr>
          <w:rFonts w:hint="eastAsia"/>
        </w:rPr>
        <w:t>而酒店及飲食業</w:t>
      </w:r>
      <w:r>
        <w:rPr>
          <w:rFonts w:ascii="新細明體" w:hAnsi="新細明體" w:cs="新細明體" w:hint="eastAsia"/>
        </w:rPr>
        <w:t>，僱員每月工作數入中位數</w:t>
      </w:r>
      <w:r>
        <w:rPr>
          <w:rFonts w:hint="eastAsia"/>
        </w:rPr>
        <w:t>為</w:t>
      </w:r>
      <w:r>
        <w:rPr>
          <w:rFonts w:hint="eastAsia"/>
        </w:rPr>
        <w:t>1</w:t>
      </w:r>
      <w:r>
        <w:t>1</w:t>
      </w:r>
      <w:r>
        <w:rPr>
          <w:rFonts w:hint="eastAsia"/>
        </w:rPr>
        <w:t>,</w:t>
      </w:r>
      <w:r>
        <w:t>200</w:t>
      </w:r>
      <w:r>
        <w:rPr>
          <w:rFonts w:ascii="新細明體" w:hAnsi="新細明體" w:cs="新細明體" w:hint="eastAsia"/>
        </w:rPr>
        <w:t>澳門元，按年</w:t>
      </w:r>
      <w:r>
        <w:t>增加</w:t>
      </w:r>
      <w:r>
        <w:t>12.0%</w:t>
      </w:r>
      <w:bookmarkEnd w:id="21"/>
      <w:r w:rsidR="00CB1799" w:rsidRPr="00CB1799">
        <w:rPr>
          <w:rFonts w:hint="eastAsia"/>
          <w:kern w:val="0"/>
          <w:szCs w:val="24"/>
        </w:rPr>
        <w:t>。</w:t>
      </w:r>
    </w:p>
    <w:p w:rsidR="00BE3103" w:rsidRPr="00CB1799" w:rsidRDefault="00BE3103" w:rsidP="002E57DB">
      <w:pPr>
        <w:adjustRightInd w:val="0"/>
        <w:snapToGrid w:val="0"/>
        <w:spacing w:line="320" w:lineRule="exact"/>
        <w:ind w:left="567"/>
        <w:jc w:val="both"/>
        <w:textAlignment w:val="baseline"/>
        <w:rPr>
          <w:b/>
          <w:kern w:val="0"/>
          <w:szCs w:val="24"/>
          <w:u w:val="single"/>
          <w:lang w:val="en-GB"/>
        </w:rPr>
      </w:pPr>
    </w:p>
    <w:p w:rsidR="00CB1799" w:rsidRPr="00CB1799" w:rsidRDefault="00CB1799" w:rsidP="00CB1799">
      <w:pPr>
        <w:adjustRightInd w:val="0"/>
        <w:snapToGrid w:val="0"/>
        <w:spacing w:line="320" w:lineRule="exact"/>
        <w:jc w:val="both"/>
        <w:textAlignment w:val="baseline"/>
        <w:rPr>
          <w:kern w:val="0"/>
          <w:szCs w:val="24"/>
          <w:lang w:val="en-GB"/>
        </w:rPr>
      </w:pPr>
      <w:r w:rsidRPr="00CB1799">
        <w:rPr>
          <w:rFonts w:hint="eastAsia"/>
          <w:b/>
          <w:kern w:val="0"/>
          <w:szCs w:val="24"/>
          <w:u w:val="single"/>
          <w:lang w:val="en-GB"/>
        </w:rPr>
        <w:t>201</w:t>
      </w:r>
      <w:r w:rsidR="00BE3103">
        <w:rPr>
          <w:rFonts w:hint="eastAsia"/>
          <w:b/>
          <w:kern w:val="0"/>
          <w:szCs w:val="24"/>
          <w:u w:val="single"/>
          <w:lang w:val="en-GB"/>
        </w:rPr>
        <w:t>8</w:t>
      </w:r>
      <w:r w:rsidRPr="00CB1799">
        <w:rPr>
          <w:rFonts w:hint="eastAsia"/>
          <w:b/>
          <w:kern w:val="0"/>
          <w:szCs w:val="24"/>
          <w:u w:val="single"/>
          <w:lang w:val="en-GB"/>
        </w:rPr>
        <w:t>-201</w:t>
      </w:r>
      <w:r w:rsidR="00BE3103">
        <w:rPr>
          <w:rFonts w:hint="eastAsia"/>
          <w:b/>
          <w:kern w:val="0"/>
          <w:szCs w:val="24"/>
          <w:u w:val="single"/>
          <w:lang w:val="en-GB"/>
        </w:rPr>
        <w:t>9</w:t>
      </w:r>
      <w:r w:rsidRPr="00CB1799">
        <w:rPr>
          <w:rFonts w:hint="eastAsia"/>
          <w:b/>
          <w:kern w:val="0"/>
          <w:szCs w:val="24"/>
          <w:u w:val="single"/>
          <w:lang w:val="en-GB"/>
        </w:rPr>
        <w:t>年度經濟預測</w:t>
      </w:r>
    </w:p>
    <w:p w:rsidR="00CB1799" w:rsidRDefault="00240DA0" w:rsidP="00CB1799">
      <w:pPr>
        <w:adjustRightInd w:val="0"/>
        <w:snapToGrid w:val="0"/>
        <w:spacing w:line="320" w:lineRule="exact"/>
        <w:jc w:val="both"/>
        <w:textAlignment w:val="baseline"/>
        <w:rPr>
          <w:kern w:val="0"/>
          <w:szCs w:val="24"/>
          <w:lang w:val="en-GB"/>
        </w:rPr>
      </w:pPr>
      <w:r>
        <w:rPr>
          <w:rFonts w:ascii="新細明體" w:hAnsi="新細明體" w:cs="新細明體" w:hint="eastAsia"/>
        </w:rPr>
        <w:t>國際貨幣基金組織</w:t>
      </w:r>
      <w:r>
        <w:t>(IMF)</w:t>
      </w:r>
      <w:r>
        <w:t>在</w:t>
      </w:r>
      <w:r>
        <w:t>2018</w:t>
      </w:r>
      <w:r>
        <w:rPr>
          <w:rFonts w:ascii="新細明體" w:hAnsi="新細明體" w:cs="新細明體" w:hint="eastAsia"/>
        </w:rPr>
        <w:t>年</w:t>
      </w:r>
      <w:r>
        <w:t>7</w:t>
      </w:r>
      <w:r>
        <w:rPr>
          <w:rFonts w:ascii="新細明體" w:hAnsi="新細明體" w:cs="新細明體" w:hint="eastAsia"/>
        </w:rPr>
        <w:t>月</w:t>
      </w:r>
      <w:r w:rsidRPr="00ED3523">
        <w:rPr>
          <w:rFonts w:ascii="新細明體" w:hAnsi="新細明體" w:cs="新細明體" w:hint="eastAsia"/>
        </w:rPr>
        <w:t>分析</w:t>
      </w:r>
      <w:r>
        <w:rPr>
          <w:rFonts w:ascii="新細明體" w:hAnsi="新細明體" w:cs="新細明體" w:hint="eastAsia"/>
        </w:rPr>
        <w:t>，</w:t>
      </w:r>
      <w:r w:rsidRPr="00F46CA5">
        <w:rPr>
          <w:rFonts w:ascii="新細明體" w:hAnsi="新細明體" w:cs="新細明體" w:hint="eastAsia"/>
        </w:rPr>
        <w:t>基於</w:t>
      </w:r>
      <w:r w:rsidRPr="00165A29">
        <w:rPr>
          <w:rFonts w:ascii="新細明體" w:hAnsi="新細明體" w:cs="新細明體" w:hint="eastAsia"/>
        </w:rPr>
        <w:t>已發展經濟地區</w:t>
      </w:r>
      <w:r>
        <w:rPr>
          <w:rFonts w:ascii="新細明體" w:hAnsi="新細明體" w:cs="新細明體" w:hint="eastAsia"/>
        </w:rPr>
        <w:t>增長</w:t>
      </w:r>
      <w:r w:rsidRPr="00165A29">
        <w:rPr>
          <w:rFonts w:ascii="新細明體" w:hAnsi="新細明體" w:cs="新細明體" w:hint="eastAsia"/>
        </w:rPr>
        <w:t>加快</w:t>
      </w:r>
      <w:r>
        <w:rPr>
          <w:rFonts w:ascii="新細明體" w:hAnsi="新細明體" w:cs="新細明體" w:hint="eastAsia"/>
        </w:rPr>
        <w:t>，全球經濟增長</w:t>
      </w:r>
      <w:r w:rsidRPr="00D21946">
        <w:rPr>
          <w:rFonts w:ascii="新細明體" w:hAnsi="新細明體" w:cs="新細明體" w:hint="eastAsia"/>
        </w:rPr>
        <w:t>亦會</w:t>
      </w:r>
      <w:r w:rsidRPr="00165A29">
        <w:rPr>
          <w:rFonts w:ascii="新細明體" w:hAnsi="新細明體" w:cs="新細明體" w:hint="eastAsia"/>
        </w:rPr>
        <w:t>加快</w:t>
      </w:r>
      <w:r>
        <w:rPr>
          <w:rFonts w:ascii="新細明體" w:hAnsi="新細明體" w:cs="新細明體" w:hint="eastAsia"/>
        </w:rPr>
        <w:t>，預測在</w:t>
      </w:r>
      <w:r>
        <w:t>2018</w:t>
      </w:r>
      <w:r>
        <w:rPr>
          <w:rFonts w:ascii="新細明體" w:hAnsi="新細明體" w:cs="新細明體" w:hint="eastAsia"/>
        </w:rPr>
        <w:t>年</w:t>
      </w:r>
      <w:r w:rsidRPr="00A20F0A">
        <w:rPr>
          <w:rFonts w:ascii="新細明體" w:hAnsi="新細明體" w:cs="新細明體" w:hint="eastAsia"/>
        </w:rPr>
        <w:t>及</w:t>
      </w:r>
      <w:r>
        <w:t>2019</w:t>
      </w:r>
      <w:r>
        <w:rPr>
          <w:rFonts w:ascii="新細明體" w:hAnsi="新細明體" w:cs="新細明體" w:hint="eastAsia"/>
        </w:rPr>
        <w:t>年增長</w:t>
      </w:r>
      <w:r w:rsidRPr="00F75258">
        <w:rPr>
          <w:rFonts w:ascii="新細明體" w:hAnsi="新細明體" w:cs="新細明體" w:hint="eastAsia"/>
        </w:rPr>
        <w:t>率</w:t>
      </w:r>
      <w:r w:rsidRPr="00A20F0A">
        <w:rPr>
          <w:rFonts w:ascii="新細明體" w:hAnsi="新細明體" w:cs="新細明體" w:hint="eastAsia"/>
        </w:rPr>
        <w:t>都</w:t>
      </w:r>
      <w:r>
        <w:rPr>
          <w:rFonts w:ascii="新細明體" w:hAnsi="新細明體" w:cs="新細明體" w:hint="eastAsia"/>
        </w:rPr>
        <w:t>為</w:t>
      </w:r>
      <w:r>
        <w:t>3.8%</w:t>
      </w:r>
      <w:r>
        <w:rPr>
          <w:rFonts w:ascii="新細明體" w:hAnsi="新細明體" w:cs="新細明體" w:hint="eastAsia"/>
        </w:rPr>
        <w:t>，其中美國經濟增長</w:t>
      </w:r>
      <w:r w:rsidRPr="00F75258">
        <w:rPr>
          <w:rFonts w:ascii="新細明體" w:hAnsi="新細明體" w:cs="新細明體" w:hint="eastAsia"/>
        </w:rPr>
        <w:t>率</w:t>
      </w:r>
      <w:r>
        <w:rPr>
          <w:rFonts w:ascii="新細明體" w:hAnsi="新細明體" w:cs="新細明體" w:hint="eastAsia"/>
        </w:rPr>
        <w:t>預計</w:t>
      </w:r>
      <w:r w:rsidRPr="007D3105">
        <w:rPr>
          <w:rFonts w:ascii="新細明體" w:hAnsi="新細明體" w:cs="新細明體" w:hint="eastAsia"/>
        </w:rPr>
        <w:t>分別</w:t>
      </w:r>
      <w:r>
        <w:rPr>
          <w:rFonts w:ascii="新細明體" w:hAnsi="新細明體" w:cs="新細明體" w:hint="eastAsia"/>
        </w:rPr>
        <w:t>為</w:t>
      </w:r>
      <w:r>
        <w:t>3.0%</w:t>
      </w:r>
      <w:r>
        <w:rPr>
          <w:rFonts w:ascii="新細明體" w:hAnsi="新細明體" w:cs="新細明體" w:hint="eastAsia"/>
        </w:rPr>
        <w:t>及</w:t>
      </w:r>
      <w:r>
        <w:t>2.4%</w:t>
      </w:r>
      <w:r>
        <w:rPr>
          <w:rFonts w:ascii="新細明體" w:hAnsi="新細明體" w:cs="新細明體" w:hint="eastAsia"/>
        </w:rPr>
        <w:t>，而歐元區經濟增長</w:t>
      </w:r>
      <w:r w:rsidRPr="00F75258">
        <w:rPr>
          <w:rFonts w:ascii="新細明體" w:hAnsi="新細明體" w:cs="新細明體" w:hint="eastAsia"/>
        </w:rPr>
        <w:t>率</w:t>
      </w:r>
      <w:r w:rsidRPr="007D3105">
        <w:rPr>
          <w:rFonts w:ascii="新細明體" w:hAnsi="新細明體" w:cs="新細明體" w:hint="eastAsia"/>
        </w:rPr>
        <w:t>則</w:t>
      </w:r>
      <w:r>
        <w:rPr>
          <w:rFonts w:ascii="新細明體" w:hAnsi="新細明體" w:cs="新細明體" w:hint="eastAsia"/>
        </w:rPr>
        <w:t>預計</w:t>
      </w:r>
      <w:r w:rsidRPr="007D3105">
        <w:rPr>
          <w:rFonts w:ascii="新細明體" w:hAnsi="新細明體" w:cs="新細明體" w:hint="eastAsia"/>
        </w:rPr>
        <w:t>分別</w:t>
      </w:r>
      <w:r>
        <w:rPr>
          <w:rFonts w:ascii="新細明體" w:hAnsi="新細明體" w:cs="新細明體" w:hint="eastAsia"/>
        </w:rPr>
        <w:t>為</w:t>
      </w:r>
      <w:r>
        <w:t>1.9%</w:t>
      </w:r>
      <w:r>
        <w:rPr>
          <w:rFonts w:ascii="新細明體" w:hAnsi="新細明體" w:cs="新細明體" w:hint="eastAsia"/>
        </w:rPr>
        <w:t>及</w:t>
      </w:r>
      <w:r>
        <w:t>2.0%</w:t>
      </w:r>
      <w:r>
        <w:rPr>
          <w:rFonts w:ascii="新細明體" w:hAnsi="新細明體" w:cs="新細明體" w:hint="eastAsia"/>
        </w:rPr>
        <w:t>。中國大陸方面，經濟</w:t>
      </w:r>
      <w:r w:rsidRPr="007D3105">
        <w:rPr>
          <w:rFonts w:ascii="新細明體" w:hAnsi="新細明體" w:cs="新細明體" w:hint="eastAsia"/>
        </w:rPr>
        <w:t>持續強勁</w:t>
      </w:r>
      <w:r>
        <w:rPr>
          <w:rFonts w:ascii="新細明體" w:hAnsi="新細明體" w:cs="新細明體" w:hint="eastAsia"/>
        </w:rPr>
        <w:t>增長，</w:t>
      </w:r>
      <w:r>
        <w:t>2018</w:t>
      </w:r>
      <w:r>
        <w:rPr>
          <w:rFonts w:ascii="新細明體" w:hAnsi="新細明體" w:cs="新細明體" w:hint="eastAsia"/>
        </w:rPr>
        <w:t>年第</w:t>
      </w:r>
      <w:r>
        <w:t>2</w:t>
      </w:r>
      <w:r>
        <w:rPr>
          <w:rFonts w:ascii="新細明體" w:hAnsi="新細明體" w:cs="新細明體" w:hint="eastAsia"/>
        </w:rPr>
        <w:t>季增長為</w:t>
      </w:r>
      <w:r>
        <w:rPr>
          <w:rFonts w:hint="eastAsia"/>
        </w:rPr>
        <w:t>6.</w:t>
      </w:r>
      <w:r>
        <w:t>7%</w:t>
      </w:r>
      <w:r>
        <w:rPr>
          <w:rFonts w:ascii="新細明體" w:hAnsi="新細明體" w:cs="新細明體" w:hint="eastAsia"/>
        </w:rPr>
        <w:t>。這些發</w:t>
      </w:r>
      <w:r>
        <w:rPr>
          <w:rFonts w:ascii="新細明體" w:hAnsi="新細明體" w:cs="新細明體"/>
        </w:rPr>
        <w:t>展</w:t>
      </w:r>
      <w:r>
        <w:rPr>
          <w:rFonts w:ascii="新細明體" w:hAnsi="新細明體" w:cs="新細明體" w:hint="eastAsia"/>
        </w:rPr>
        <w:t>亦令澳門另一個主要服務出口市場</w:t>
      </w:r>
      <w:proofErr w:type="gramStart"/>
      <w:r>
        <w:rPr>
          <w:rFonts w:ascii="新細明體" w:hAnsi="新細明體" w:cs="新細明體"/>
        </w:rPr>
        <w:t>–</w:t>
      </w:r>
      <w:proofErr w:type="gramEnd"/>
      <w:r>
        <w:rPr>
          <w:rFonts w:ascii="新細明體" w:hAnsi="新細明體" w:cs="新細明體" w:hint="eastAsia"/>
        </w:rPr>
        <w:t>香港在</w:t>
      </w:r>
      <w:r>
        <w:t>2018</w:t>
      </w:r>
      <w:r>
        <w:rPr>
          <w:rFonts w:ascii="新細明體" w:hAnsi="新細明體" w:cs="新細明體" w:hint="eastAsia"/>
        </w:rPr>
        <w:t>年第</w:t>
      </w:r>
      <w:r>
        <w:t>2</w:t>
      </w:r>
      <w:r>
        <w:rPr>
          <w:rFonts w:ascii="新細明體" w:hAnsi="新細明體" w:cs="新細明體" w:hint="eastAsia"/>
        </w:rPr>
        <w:t>季增長</w:t>
      </w:r>
      <w:r>
        <w:t>3.5%</w:t>
      </w:r>
      <w:r>
        <w:rPr>
          <w:rFonts w:ascii="新細明體" w:hAnsi="新細明體" w:cs="新細明體" w:hint="eastAsia"/>
        </w:rPr>
        <w:t>。</w:t>
      </w:r>
      <w:r w:rsidRPr="00C27369">
        <w:rPr>
          <w:rFonts w:ascii="新細明體" w:hAnsi="新細明體" w:cs="新細明體" w:hint="eastAsia"/>
        </w:rPr>
        <w:t>但是</w:t>
      </w:r>
      <w:r>
        <w:rPr>
          <w:rFonts w:ascii="新細明體" w:hAnsi="新細明體" w:cs="新細明體" w:hint="eastAsia"/>
        </w:rPr>
        <w:t>，</w:t>
      </w:r>
      <w:r w:rsidRPr="00C27369">
        <w:rPr>
          <w:rFonts w:ascii="新細明體" w:hAnsi="新細明體" w:cs="新細明體" w:hint="eastAsia"/>
        </w:rPr>
        <w:t>我們</w:t>
      </w:r>
      <w:r w:rsidRPr="00ED21EA">
        <w:rPr>
          <w:rFonts w:ascii="新細明體" w:hAnsi="新細明體" w:cs="新細明體" w:hint="eastAsia"/>
        </w:rPr>
        <w:t>現</w:t>
      </w:r>
      <w:r w:rsidRPr="00452650">
        <w:rPr>
          <w:rFonts w:ascii="新細明體" w:hAnsi="新細明體" w:cs="新細明體" w:hint="eastAsia"/>
        </w:rPr>
        <w:t>在</w:t>
      </w:r>
      <w:r w:rsidRPr="00C27369">
        <w:rPr>
          <w:rFonts w:ascii="新細明體" w:hAnsi="新細明體" w:cs="新細明體" w:hint="eastAsia"/>
        </w:rPr>
        <w:t>亦面對一些不穩定因素</w:t>
      </w:r>
      <w:r w:rsidRPr="0000416C">
        <w:rPr>
          <w:rFonts w:ascii="新細明體" w:hAnsi="新細明體" w:cs="新細明體" w:hint="eastAsia"/>
        </w:rPr>
        <w:t>：</w:t>
      </w:r>
      <w:r>
        <w:rPr>
          <w:rFonts w:ascii="新細明體" w:hAnsi="新細明體" w:cs="新細明體" w:hint="eastAsia"/>
        </w:rPr>
        <w:t>美國聯儲局持續</w:t>
      </w:r>
      <w:r w:rsidRPr="0000416C">
        <w:rPr>
          <w:rFonts w:ascii="新細明體" w:hAnsi="新細明體" w:cs="新細明體" w:hint="eastAsia"/>
        </w:rPr>
        <w:t>加息</w:t>
      </w:r>
      <w:r w:rsidRPr="00481530">
        <w:rPr>
          <w:rFonts w:ascii="新細明體" w:hAnsi="新細明體" w:cs="新細明體" w:hint="eastAsia"/>
        </w:rPr>
        <w:t>；</w:t>
      </w:r>
      <w:r w:rsidRPr="00E1490D">
        <w:rPr>
          <w:rFonts w:ascii="新細明體" w:hAnsi="新細明體" w:cs="新細明體" w:hint="eastAsia"/>
        </w:rPr>
        <w:t>特朗普政府製造不少貿易摩擦</w:t>
      </w:r>
      <w:r w:rsidRPr="00481530">
        <w:rPr>
          <w:rFonts w:ascii="新細明體" w:hAnsi="新細明體" w:cs="新細明體" w:hint="eastAsia"/>
        </w:rPr>
        <w:t>；</w:t>
      </w:r>
      <w:r>
        <w:rPr>
          <w:rFonts w:ascii="新細明體" w:hAnsi="新細明體" w:cs="新細明體" w:hint="eastAsia"/>
        </w:rPr>
        <w:t>歐元區</w:t>
      </w:r>
      <w:r w:rsidRPr="00C1263B">
        <w:rPr>
          <w:rFonts w:ascii="新細明體" w:hAnsi="新細明體" w:cs="新細明體" w:hint="eastAsia"/>
        </w:rPr>
        <w:t>國家可能出現債務危機</w:t>
      </w:r>
      <w:r>
        <w:rPr>
          <w:rFonts w:ascii="新細明體" w:hAnsi="新細明體" w:cs="新細明體" w:hint="eastAsia"/>
        </w:rPr>
        <w:t>。</w:t>
      </w:r>
      <w:r w:rsidRPr="006C2B9E">
        <w:rPr>
          <w:rFonts w:ascii="新細明體" w:hAnsi="新細明體" w:cs="新細明體" w:hint="eastAsia"/>
        </w:rPr>
        <w:t>同時</w:t>
      </w:r>
      <w:r>
        <w:rPr>
          <w:rFonts w:ascii="新細明體" w:hAnsi="新細明體" w:cs="新細明體" w:hint="eastAsia"/>
        </w:rPr>
        <w:t>，中</w:t>
      </w:r>
      <w:r w:rsidRPr="005E21A5">
        <w:rPr>
          <w:rFonts w:ascii="新細明體" w:hAnsi="新細明體" w:cs="新細明體" w:hint="eastAsia"/>
        </w:rPr>
        <w:t>國</w:t>
      </w:r>
      <w:r>
        <w:rPr>
          <w:rFonts w:ascii="新細明體" w:hAnsi="新細明體" w:cs="新細明體" w:hint="eastAsia"/>
        </w:rPr>
        <w:t>政府</w:t>
      </w:r>
      <w:r w:rsidRPr="004E1793">
        <w:rPr>
          <w:rFonts w:ascii="新細明體" w:hAnsi="新細明體" w:cs="新細明體" w:hint="eastAsia"/>
        </w:rPr>
        <w:t>亦</w:t>
      </w:r>
      <w:r w:rsidRPr="005E21A5">
        <w:rPr>
          <w:rFonts w:ascii="新細明體" w:hAnsi="新細明體" w:cs="新細明體" w:hint="eastAsia"/>
        </w:rPr>
        <w:t>採取</w:t>
      </w:r>
      <w:r w:rsidRPr="004E1793">
        <w:rPr>
          <w:rFonts w:ascii="新細明體" w:hAnsi="新細明體" w:cs="新細明體" w:hint="eastAsia"/>
        </w:rPr>
        <w:t>寬鬆的</w:t>
      </w:r>
      <w:r w:rsidRPr="005E21A5">
        <w:rPr>
          <w:rFonts w:ascii="新細明體" w:hAnsi="新細明體" w:cs="新細明體" w:hint="eastAsia"/>
        </w:rPr>
        <w:t>貨幣及財政政策</w:t>
      </w:r>
      <w:r>
        <w:rPr>
          <w:rFonts w:ascii="新細明體" w:hAnsi="新細明體" w:cs="新細明體" w:hint="eastAsia"/>
        </w:rPr>
        <w:t>，</w:t>
      </w:r>
      <w:r w:rsidRPr="005E21A5">
        <w:rPr>
          <w:rFonts w:ascii="新細明體" w:hAnsi="新細明體" w:cs="新細明體" w:hint="eastAsia"/>
        </w:rPr>
        <w:t>試圖穩定</w:t>
      </w:r>
      <w:r>
        <w:rPr>
          <w:rFonts w:ascii="新細明體" w:hAnsi="新細明體" w:cs="新細明體" w:hint="eastAsia"/>
        </w:rPr>
        <w:t>經濟</w:t>
      </w:r>
      <w:r w:rsidRPr="005E21A5">
        <w:rPr>
          <w:rFonts w:ascii="新細明體" w:hAnsi="新細明體" w:cs="新細明體" w:hint="eastAsia"/>
        </w:rPr>
        <w:t>下滑</w:t>
      </w:r>
      <w:r>
        <w:rPr>
          <w:rFonts w:ascii="新細明體" w:hAnsi="新細明體" w:cs="新細明體" w:hint="eastAsia"/>
        </w:rPr>
        <w:t>。</w:t>
      </w:r>
      <w:r w:rsidRPr="00C1263B">
        <w:rPr>
          <w:rFonts w:ascii="新細明體" w:hAnsi="新細明體" w:cs="新細明體" w:hint="eastAsia"/>
        </w:rPr>
        <w:t>這些因素都會影響</w:t>
      </w:r>
      <w:r>
        <w:rPr>
          <w:rFonts w:ascii="新細明體" w:hAnsi="新細明體" w:cs="新細明體" w:hint="eastAsia"/>
        </w:rPr>
        <w:t>澳門</w:t>
      </w:r>
      <w:r>
        <w:t>2019</w:t>
      </w:r>
      <w:r>
        <w:rPr>
          <w:rFonts w:ascii="新細明體" w:hAnsi="新細明體" w:cs="新細明體" w:hint="eastAsia"/>
        </w:rPr>
        <w:t>年</w:t>
      </w:r>
      <w:r w:rsidRPr="004732D6">
        <w:rPr>
          <w:rFonts w:ascii="新細明體" w:hAnsi="新細明體" w:cs="新細明體" w:hint="eastAsia"/>
        </w:rPr>
        <w:t>的經濟增長</w:t>
      </w:r>
      <w:r w:rsidR="00BE3103">
        <w:rPr>
          <w:rFonts w:ascii="新細明體" w:hAnsi="新細明體" w:cs="新細明體" w:hint="eastAsia"/>
        </w:rPr>
        <w:t>。</w:t>
      </w:r>
    </w:p>
    <w:p w:rsidR="00CB1799" w:rsidRPr="00CB1799" w:rsidRDefault="00CB1799" w:rsidP="00CB1799">
      <w:pPr>
        <w:adjustRightInd w:val="0"/>
        <w:snapToGrid w:val="0"/>
        <w:spacing w:line="320" w:lineRule="exact"/>
        <w:jc w:val="both"/>
        <w:textAlignment w:val="baseline"/>
        <w:rPr>
          <w:kern w:val="0"/>
          <w:szCs w:val="24"/>
        </w:rPr>
      </w:pPr>
    </w:p>
    <w:p w:rsidR="00CB1799" w:rsidRDefault="00240DA0" w:rsidP="00CB1799">
      <w:pPr>
        <w:adjustRightInd w:val="0"/>
        <w:snapToGrid w:val="0"/>
        <w:spacing w:line="320" w:lineRule="exact"/>
        <w:jc w:val="both"/>
        <w:textAlignment w:val="baseline"/>
        <w:rPr>
          <w:kern w:val="0"/>
          <w:szCs w:val="24"/>
        </w:rPr>
      </w:pPr>
      <w:r w:rsidRPr="00481530">
        <w:rPr>
          <w:rFonts w:hint="eastAsia"/>
        </w:rPr>
        <w:t>今</w:t>
      </w:r>
      <w:r>
        <w:rPr>
          <w:rFonts w:ascii="新細明體" w:hAnsi="新細明體" w:cs="新細明體" w:hint="eastAsia"/>
        </w:rPr>
        <w:t>年澳門服務出口預計上升</w:t>
      </w:r>
      <w:r>
        <w:rPr>
          <w:rFonts w:hint="eastAsia"/>
        </w:rPr>
        <w:t>13.6</w:t>
      </w:r>
      <w:r>
        <w:t>%</w:t>
      </w:r>
      <w:r>
        <w:rPr>
          <w:rFonts w:ascii="新細明體" w:hAnsi="新細明體" w:cs="新細明體" w:hint="eastAsia"/>
        </w:rPr>
        <w:t>，</w:t>
      </w:r>
      <w:r w:rsidRPr="00481530">
        <w:rPr>
          <w:rFonts w:ascii="新細明體" w:hAnsi="新細明體" w:cs="新細明體" w:hint="eastAsia"/>
        </w:rPr>
        <w:t>而</w:t>
      </w:r>
      <w:r w:rsidRPr="00030FF7">
        <w:rPr>
          <w:rFonts w:ascii="新細明體" w:hAnsi="新細明體" w:cs="新細明體" w:hint="eastAsia"/>
        </w:rPr>
        <w:t>明</w:t>
      </w:r>
      <w:r>
        <w:rPr>
          <w:rFonts w:ascii="新細明體" w:hAnsi="新細明體" w:cs="新細明體" w:hint="eastAsia"/>
        </w:rPr>
        <w:t>年預計</w:t>
      </w:r>
      <w:r w:rsidRPr="009D304D">
        <w:rPr>
          <w:rFonts w:ascii="新細明體" w:hAnsi="新細明體" w:cs="新細明體" w:hint="eastAsia"/>
        </w:rPr>
        <w:t>減慢</w:t>
      </w:r>
      <w:r w:rsidRPr="00030FF7">
        <w:rPr>
          <w:rFonts w:ascii="新細明體" w:hAnsi="新細明體" w:cs="新細明體" w:hint="eastAsia"/>
        </w:rPr>
        <w:t>至</w:t>
      </w:r>
      <w:r>
        <w:rPr>
          <w:rFonts w:ascii="新細明體" w:hAnsi="新細明體" w:cs="新細明體" w:hint="eastAsia"/>
        </w:rPr>
        <w:t>上升</w:t>
      </w:r>
      <w:r>
        <w:rPr>
          <w:rFonts w:hint="eastAsia"/>
        </w:rPr>
        <w:t>8.7</w:t>
      </w:r>
      <w:r>
        <w:t>%</w:t>
      </w:r>
      <w:r>
        <w:rPr>
          <w:rFonts w:ascii="新細明體" w:hAnsi="新細明體" w:cs="新細明體" w:hint="eastAsia"/>
        </w:rPr>
        <w:t>。至於貨物出口，預計</w:t>
      </w:r>
      <w:r>
        <w:t>2018</w:t>
      </w:r>
      <w:r>
        <w:rPr>
          <w:rFonts w:ascii="新細明體" w:hAnsi="新細明體" w:cs="新細明體" w:hint="eastAsia"/>
        </w:rPr>
        <w:t>年</w:t>
      </w:r>
      <w:r w:rsidRPr="00A20F0A">
        <w:rPr>
          <w:rFonts w:ascii="新細明體" w:hAnsi="新細明體" w:cs="新細明體" w:hint="eastAsia"/>
        </w:rPr>
        <w:t>及</w:t>
      </w:r>
      <w:r>
        <w:t>2019</w:t>
      </w:r>
      <w:r>
        <w:rPr>
          <w:rFonts w:ascii="新細明體" w:hAnsi="新細明體" w:cs="新細明體" w:hint="eastAsia"/>
        </w:rPr>
        <w:t>年</w:t>
      </w:r>
      <w:r w:rsidRPr="007D3105">
        <w:rPr>
          <w:rFonts w:ascii="新細明體" w:hAnsi="新細明體" w:cs="新細明體" w:hint="eastAsia"/>
        </w:rPr>
        <w:t>分別</w:t>
      </w:r>
      <w:r>
        <w:rPr>
          <w:rFonts w:ascii="新細明體" w:hAnsi="新細明體" w:cs="新細明體" w:hint="eastAsia"/>
        </w:rPr>
        <w:t>增長</w:t>
      </w:r>
      <w:r>
        <w:rPr>
          <w:rFonts w:hint="eastAsia"/>
        </w:rPr>
        <w:t>18.1</w:t>
      </w:r>
      <w:r>
        <w:t>%</w:t>
      </w:r>
      <w:r>
        <w:rPr>
          <w:rFonts w:ascii="新細明體" w:hAnsi="新細明體" w:cs="新細明體" w:hint="eastAsia"/>
        </w:rPr>
        <w:t>及</w:t>
      </w:r>
      <w:r>
        <w:rPr>
          <w:rFonts w:hint="eastAsia"/>
        </w:rPr>
        <w:t>5.</w:t>
      </w:r>
      <w:r>
        <w:t>7%</w:t>
      </w:r>
      <w:r>
        <w:rPr>
          <w:rFonts w:ascii="新細明體" w:hAnsi="新細明體" w:cs="新細明體" w:hint="eastAsia"/>
        </w:rPr>
        <w:t>。隨</w:t>
      </w:r>
      <w:r>
        <w:rPr>
          <w:rFonts w:hint="eastAsia"/>
        </w:rPr>
        <w:t>着</w:t>
      </w:r>
      <w:r>
        <w:rPr>
          <w:rFonts w:ascii="新細明體" w:hAnsi="新細明體" w:cs="新細明體" w:hint="eastAsia"/>
        </w:rPr>
        <w:t>內部消費</w:t>
      </w:r>
      <w:r>
        <w:rPr>
          <w:rFonts w:hint="eastAsia"/>
          <w:bCs/>
        </w:rPr>
        <w:t>復甦</w:t>
      </w:r>
      <w:r>
        <w:rPr>
          <w:rFonts w:ascii="新細明體" w:hAnsi="新細明體" w:cs="新細明體" w:hint="eastAsia"/>
        </w:rPr>
        <w:t>，貨物進口預計在</w:t>
      </w:r>
      <w:r>
        <w:t>2018</w:t>
      </w:r>
      <w:r>
        <w:rPr>
          <w:rFonts w:ascii="新細明體" w:hAnsi="新細明體" w:cs="新細明體" w:hint="eastAsia"/>
        </w:rPr>
        <w:t>年</w:t>
      </w:r>
      <w:r w:rsidRPr="00A20F0A">
        <w:rPr>
          <w:rFonts w:ascii="新細明體" w:hAnsi="新細明體" w:cs="新細明體" w:hint="eastAsia"/>
        </w:rPr>
        <w:t>及</w:t>
      </w:r>
      <w:r>
        <w:t>2019</w:t>
      </w:r>
      <w:r>
        <w:rPr>
          <w:rFonts w:ascii="新細明體" w:hAnsi="新細明體" w:cs="新細明體" w:hint="eastAsia"/>
        </w:rPr>
        <w:t>年增長都為</w:t>
      </w:r>
      <w:r>
        <w:rPr>
          <w:rFonts w:hint="eastAsia"/>
        </w:rPr>
        <w:t>7.5</w:t>
      </w:r>
      <w:r>
        <w:t>%</w:t>
      </w:r>
      <w:r>
        <w:rPr>
          <w:rFonts w:ascii="新細明體" w:hAnsi="新細明體" w:cs="新細明體" w:hint="eastAsia"/>
        </w:rPr>
        <w:t>，而隨</w:t>
      </w:r>
      <w:r>
        <w:rPr>
          <w:rFonts w:hint="eastAsia"/>
        </w:rPr>
        <w:t>着</w:t>
      </w:r>
      <w:r>
        <w:rPr>
          <w:rFonts w:ascii="新細明體" w:hAnsi="新細明體" w:cs="新細明體" w:hint="eastAsia"/>
        </w:rPr>
        <w:t>服務出口擴張，服務進口預計在</w:t>
      </w:r>
      <w:r>
        <w:t>2018</w:t>
      </w:r>
      <w:r>
        <w:rPr>
          <w:rFonts w:ascii="新細明體" w:hAnsi="新細明體" w:cs="新細明體" w:hint="eastAsia"/>
        </w:rPr>
        <w:t>年</w:t>
      </w:r>
      <w:r w:rsidRPr="00A20F0A">
        <w:rPr>
          <w:rFonts w:ascii="新細明體" w:hAnsi="新細明體" w:cs="新細明體" w:hint="eastAsia"/>
        </w:rPr>
        <w:t>及</w:t>
      </w:r>
      <w:r>
        <w:t>2019</w:t>
      </w:r>
      <w:r>
        <w:rPr>
          <w:rFonts w:ascii="新細明體" w:hAnsi="新細明體" w:cs="新細明體" w:hint="eastAsia"/>
        </w:rPr>
        <w:t>年</w:t>
      </w:r>
      <w:r w:rsidRPr="007D3105">
        <w:rPr>
          <w:rFonts w:ascii="新細明體" w:hAnsi="新細明體" w:cs="新細明體" w:hint="eastAsia"/>
        </w:rPr>
        <w:t>分別</w:t>
      </w:r>
      <w:r>
        <w:rPr>
          <w:rFonts w:ascii="新細明體" w:hAnsi="新細明體" w:cs="新細明體" w:hint="eastAsia"/>
        </w:rPr>
        <w:t>上升</w:t>
      </w:r>
      <w:r>
        <w:t>1</w:t>
      </w:r>
      <w:r>
        <w:rPr>
          <w:rFonts w:hint="eastAsia"/>
        </w:rPr>
        <w:t>7</w:t>
      </w:r>
      <w:r>
        <w:t>.4%</w:t>
      </w:r>
      <w:r>
        <w:rPr>
          <w:rFonts w:ascii="新細明體" w:hAnsi="新細明體" w:cs="新細明體" w:hint="eastAsia"/>
        </w:rPr>
        <w:t>及</w:t>
      </w:r>
      <w:r>
        <w:rPr>
          <w:rFonts w:hint="eastAsia"/>
        </w:rPr>
        <w:t>9.5</w:t>
      </w:r>
      <w:r>
        <w:t>%</w:t>
      </w:r>
      <w:r w:rsidR="00BE3103">
        <w:rPr>
          <w:rFonts w:ascii="新細明體" w:hAnsi="新細明體" w:cs="新細明體" w:hint="eastAsia"/>
        </w:rPr>
        <w:t>。</w:t>
      </w:r>
    </w:p>
    <w:p w:rsidR="00CB1799" w:rsidRPr="00CB1799" w:rsidRDefault="00CB1799" w:rsidP="00CB1799">
      <w:pPr>
        <w:adjustRightInd w:val="0"/>
        <w:snapToGrid w:val="0"/>
        <w:spacing w:line="320" w:lineRule="exact"/>
        <w:jc w:val="both"/>
        <w:textAlignment w:val="baseline"/>
        <w:rPr>
          <w:kern w:val="0"/>
          <w:szCs w:val="24"/>
          <w:lang w:val="en-GB"/>
        </w:rPr>
      </w:pPr>
    </w:p>
    <w:p w:rsidR="00CB1799" w:rsidRDefault="00240DA0" w:rsidP="00CB1799">
      <w:pPr>
        <w:adjustRightInd w:val="0"/>
        <w:snapToGrid w:val="0"/>
        <w:spacing w:line="320" w:lineRule="exact"/>
        <w:jc w:val="both"/>
        <w:textAlignment w:val="baseline"/>
        <w:rPr>
          <w:kern w:val="0"/>
          <w:szCs w:val="24"/>
        </w:rPr>
      </w:pPr>
      <w:r>
        <w:rPr>
          <w:rFonts w:ascii="新細明體" w:hAnsi="新細明體" w:cs="新細明體" w:hint="eastAsia"/>
        </w:rPr>
        <w:t>內部需求方面，私人消費持續穩定，預期在</w:t>
      </w:r>
      <w:r>
        <w:t>2018</w:t>
      </w:r>
      <w:r>
        <w:rPr>
          <w:rFonts w:ascii="新細明體" w:hAnsi="新細明體" w:cs="新細明體" w:hint="eastAsia"/>
        </w:rPr>
        <w:t>年</w:t>
      </w:r>
      <w:r w:rsidRPr="00A20F0A">
        <w:rPr>
          <w:rFonts w:ascii="新細明體" w:hAnsi="新細明體" w:cs="新細明體" w:hint="eastAsia"/>
        </w:rPr>
        <w:t>及</w:t>
      </w:r>
      <w:r>
        <w:t>2019</w:t>
      </w:r>
      <w:r>
        <w:rPr>
          <w:rFonts w:ascii="新細明體" w:hAnsi="新細明體" w:cs="新細明體" w:hint="eastAsia"/>
        </w:rPr>
        <w:t>年都上升</w:t>
      </w:r>
      <w:r>
        <w:t>5.0%</w:t>
      </w:r>
      <w:r>
        <w:rPr>
          <w:rFonts w:ascii="新細明體" w:hAnsi="新細明體" w:cs="新細明體" w:hint="eastAsia"/>
        </w:rPr>
        <w:t>。最終固定資本形成總額預期在</w:t>
      </w:r>
      <w:r>
        <w:t>2018</w:t>
      </w:r>
      <w:r>
        <w:rPr>
          <w:rFonts w:ascii="新細明體" w:hAnsi="新細明體" w:cs="新細明體" w:hint="eastAsia"/>
        </w:rPr>
        <w:t>年</w:t>
      </w:r>
      <w:r>
        <w:rPr>
          <w:rFonts w:hint="eastAsia"/>
        </w:rPr>
        <w:t>下跌</w:t>
      </w:r>
      <w:r>
        <w:rPr>
          <w:rFonts w:hint="eastAsia"/>
        </w:rPr>
        <w:t>5</w:t>
      </w:r>
      <w:r>
        <w:t>.7%</w:t>
      </w:r>
      <w:r w:rsidRPr="00A20F0A">
        <w:rPr>
          <w:rFonts w:ascii="新細明體" w:hAnsi="新細明體" w:cs="新細明體" w:hint="eastAsia"/>
        </w:rPr>
        <w:t>及</w:t>
      </w:r>
      <w:r>
        <w:rPr>
          <w:rFonts w:ascii="新細明體" w:hAnsi="新細明體" w:cs="新細明體" w:hint="eastAsia"/>
        </w:rPr>
        <w:t>在</w:t>
      </w:r>
      <w:r>
        <w:t>2019</w:t>
      </w:r>
      <w:r>
        <w:rPr>
          <w:rFonts w:ascii="新細明體" w:hAnsi="新細明體" w:cs="新細明體" w:hint="eastAsia"/>
        </w:rPr>
        <w:t>年增長</w:t>
      </w:r>
      <w:r>
        <w:t>4.</w:t>
      </w:r>
      <w:r>
        <w:rPr>
          <w:rFonts w:hint="eastAsia"/>
        </w:rPr>
        <w:t>4</w:t>
      </w:r>
      <w:r>
        <w:t>%</w:t>
      </w:r>
      <w:r w:rsidR="00BE3103">
        <w:rPr>
          <w:rFonts w:ascii="新細明體" w:hAnsi="新細明體" w:cs="新細明體" w:hint="eastAsia"/>
        </w:rPr>
        <w:t>。</w:t>
      </w:r>
    </w:p>
    <w:p w:rsidR="00CB1799" w:rsidRPr="00CB1799" w:rsidRDefault="00CB1799" w:rsidP="00CB1799">
      <w:pPr>
        <w:adjustRightInd w:val="0"/>
        <w:snapToGrid w:val="0"/>
        <w:spacing w:line="320" w:lineRule="exact"/>
        <w:jc w:val="both"/>
        <w:textAlignment w:val="baseline"/>
        <w:rPr>
          <w:kern w:val="0"/>
          <w:szCs w:val="24"/>
          <w:lang w:val="en-GB"/>
        </w:rPr>
      </w:pPr>
    </w:p>
    <w:p w:rsidR="00CB1799" w:rsidRDefault="00240DA0" w:rsidP="00CB1799">
      <w:pPr>
        <w:adjustRightInd w:val="0"/>
        <w:snapToGrid w:val="0"/>
        <w:spacing w:line="320" w:lineRule="exact"/>
        <w:jc w:val="both"/>
        <w:textAlignment w:val="baseline"/>
        <w:rPr>
          <w:kern w:val="0"/>
          <w:szCs w:val="24"/>
        </w:rPr>
      </w:pPr>
      <w:r>
        <w:rPr>
          <w:rFonts w:ascii="新細明體" w:hAnsi="新細明體" w:cs="新細明體" w:hint="eastAsia"/>
        </w:rPr>
        <w:t>澳門通脹開始加快，以消費物價指數計算，在</w:t>
      </w:r>
      <w:r>
        <w:t>2018</w:t>
      </w:r>
      <w:r>
        <w:rPr>
          <w:rFonts w:ascii="新細明體" w:hAnsi="新細明體" w:cs="新細明體" w:hint="eastAsia"/>
        </w:rPr>
        <w:t>年</w:t>
      </w:r>
      <w:r w:rsidRPr="00A20F0A">
        <w:rPr>
          <w:rFonts w:ascii="新細明體" w:hAnsi="新細明體" w:cs="新細明體" w:hint="eastAsia"/>
        </w:rPr>
        <w:t>及</w:t>
      </w:r>
      <w:r>
        <w:t>2019</w:t>
      </w:r>
      <w:r>
        <w:rPr>
          <w:rFonts w:ascii="新細明體" w:hAnsi="新細明體" w:cs="新細明體" w:hint="eastAsia"/>
        </w:rPr>
        <w:t>年通脹</w:t>
      </w:r>
      <w:r w:rsidRPr="00F75258">
        <w:rPr>
          <w:rFonts w:ascii="新細明體" w:hAnsi="新細明體" w:cs="新細明體" w:hint="eastAsia"/>
        </w:rPr>
        <w:t>率</w:t>
      </w:r>
      <w:r>
        <w:rPr>
          <w:rFonts w:ascii="新細明體" w:hAnsi="新細明體" w:cs="新細明體" w:hint="eastAsia"/>
        </w:rPr>
        <w:t>預計</w:t>
      </w:r>
      <w:r w:rsidRPr="007D3105">
        <w:rPr>
          <w:rFonts w:ascii="新細明體" w:hAnsi="新細明體" w:cs="新細明體" w:hint="eastAsia"/>
        </w:rPr>
        <w:t>分別</w:t>
      </w:r>
      <w:r>
        <w:rPr>
          <w:rFonts w:ascii="新細明體" w:hAnsi="新細明體" w:cs="新細明體" w:hint="eastAsia"/>
        </w:rPr>
        <w:t>為</w:t>
      </w:r>
      <w:r>
        <w:t>3.</w:t>
      </w:r>
      <w:r>
        <w:rPr>
          <w:rFonts w:hint="eastAsia"/>
        </w:rPr>
        <w:t>3</w:t>
      </w:r>
      <w:r>
        <w:t>%</w:t>
      </w:r>
      <w:r w:rsidRPr="00A20F0A">
        <w:rPr>
          <w:rFonts w:ascii="新細明體" w:hAnsi="新細明體" w:cs="新細明體" w:hint="eastAsia"/>
        </w:rPr>
        <w:t>及</w:t>
      </w:r>
      <w:r>
        <w:t>3.</w:t>
      </w:r>
      <w:r>
        <w:rPr>
          <w:rFonts w:hint="eastAsia"/>
        </w:rPr>
        <w:t>9</w:t>
      </w:r>
      <w:r>
        <w:t>%</w:t>
      </w:r>
      <w:r>
        <w:rPr>
          <w:rFonts w:ascii="新細明體" w:hAnsi="新細明體" w:cs="新細明體" w:hint="eastAsia"/>
        </w:rPr>
        <w:t>。以總體經濟而言，本地生產總值平減物價指數升幅，預計在</w:t>
      </w:r>
      <w:r>
        <w:t>2018</w:t>
      </w:r>
      <w:r>
        <w:rPr>
          <w:rFonts w:ascii="新細明體" w:hAnsi="新細明體" w:cs="新細明體" w:hint="eastAsia"/>
        </w:rPr>
        <w:t>年</w:t>
      </w:r>
      <w:r w:rsidRPr="00A20F0A">
        <w:rPr>
          <w:rFonts w:ascii="新細明體" w:hAnsi="新細明體" w:cs="新細明體" w:hint="eastAsia"/>
        </w:rPr>
        <w:t>及</w:t>
      </w:r>
      <w:r>
        <w:t>2019</w:t>
      </w:r>
      <w:r>
        <w:rPr>
          <w:rFonts w:ascii="新細明體" w:hAnsi="新細明體" w:cs="新細明體" w:hint="eastAsia"/>
        </w:rPr>
        <w:t>年</w:t>
      </w:r>
      <w:r w:rsidRPr="007D3105">
        <w:rPr>
          <w:rFonts w:ascii="新細明體" w:hAnsi="新細明體" w:cs="新細明體" w:hint="eastAsia"/>
        </w:rPr>
        <w:t>分別</w:t>
      </w:r>
      <w:r>
        <w:rPr>
          <w:rFonts w:ascii="新細明體" w:hAnsi="新細明體" w:cs="新細明體" w:hint="eastAsia"/>
        </w:rPr>
        <w:t>為</w:t>
      </w:r>
      <w:r>
        <w:t>3.</w:t>
      </w:r>
      <w:r>
        <w:rPr>
          <w:rFonts w:hint="eastAsia"/>
        </w:rPr>
        <w:t>4</w:t>
      </w:r>
      <w:r>
        <w:t>%</w:t>
      </w:r>
      <w:r>
        <w:rPr>
          <w:rFonts w:ascii="新細明體" w:hAnsi="新細明體" w:cs="新細明體" w:hint="eastAsia"/>
        </w:rPr>
        <w:t>及</w:t>
      </w:r>
      <w:r>
        <w:t>4.</w:t>
      </w:r>
      <w:r>
        <w:rPr>
          <w:rFonts w:hint="eastAsia"/>
        </w:rPr>
        <w:t>1</w:t>
      </w:r>
      <w:r>
        <w:t>%</w:t>
      </w:r>
      <w:r w:rsidR="00BE3103">
        <w:rPr>
          <w:rFonts w:ascii="新細明體" w:hAnsi="新細明體" w:cs="新細明體" w:hint="eastAsia"/>
        </w:rPr>
        <w:t>。</w:t>
      </w:r>
    </w:p>
    <w:p w:rsidR="00CB1799" w:rsidRPr="00CB1799" w:rsidRDefault="00CB1799" w:rsidP="00CB1799">
      <w:pPr>
        <w:adjustRightInd w:val="0"/>
        <w:snapToGrid w:val="0"/>
        <w:spacing w:line="320" w:lineRule="exact"/>
        <w:jc w:val="both"/>
        <w:textAlignment w:val="baseline"/>
        <w:rPr>
          <w:kern w:val="0"/>
          <w:szCs w:val="24"/>
        </w:rPr>
      </w:pPr>
    </w:p>
    <w:p w:rsidR="00BE3103" w:rsidRDefault="00240DA0" w:rsidP="00CB1799">
      <w:pPr>
        <w:adjustRightInd w:val="0"/>
        <w:snapToGrid w:val="0"/>
        <w:spacing w:line="320" w:lineRule="exact"/>
        <w:jc w:val="both"/>
        <w:textAlignment w:val="baseline"/>
        <w:rPr>
          <w:rFonts w:ascii="新細明體" w:hAnsi="新細明體" w:cs="新細明體"/>
        </w:rPr>
      </w:pPr>
      <w:r>
        <w:rPr>
          <w:rFonts w:ascii="新細明體" w:hAnsi="新細明體" w:cs="新細明體" w:hint="eastAsia"/>
        </w:rPr>
        <w:t>澳門就業市場</w:t>
      </w:r>
      <w:r w:rsidRPr="009658DF">
        <w:rPr>
          <w:rFonts w:ascii="新細明體" w:hAnsi="新細明體" w:cs="新細明體" w:hint="eastAsia"/>
        </w:rPr>
        <w:t>持續緊張</w:t>
      </w:r>
      <w:r>
        <w:rPr>
          <w:rFonts w:ascii="新細明體" w:hAnsi="新細明體" w:cs="新細明體" w:hint="eastAsia"/>
        </w:rPr>
        <w:t>，</w:t>
      </w:r>
      <w:r>
        <w:rPr>
          <w:rFonts w:hint="eastAsia"/>
        </w:rPr>
        <w:t>201</w:t>
      </w:r>
      <w:r>
        <w:t>8</w:t>
      </w:r>
      <w:r>
        <w:rPr>
          <w:rFonts w:ascii="新細明體" w:hAnsi="新細明體" w:cs="新細明體" w:hint="eastAsia"/>
        </w:rPr>
        <w:t>年</w:t>
      </w:r>
      <w:r w:rsidRPr="00A20F0A">
        <w:rPr>
          <w:rFonts w:ascii="新細明體" w:hAnsi="新細明體" w:cs="新細明體" w:hint="eastAsia"/>
        </w:rPr>
        <w:t>及</w:t>
      </w:r>
      <w:r>
        <w:t>2019</w:t>
      </w:r>
      <w:r>
        <w:rPr>
          <w:rFonts w:ascii="新細明體" w:hAnsi="新細明體" w:cs="新細明體" w:hint="eastAsia"/>
        </w:rPr>
        <w:t>年整體失業率預計為</w:t>
      </w:r>
      <w:r>
        <w:rPr>
          <w:rFonts w:hint="eastAsia"/>
        </w:rPr>
        <w:t>2.0%</w:t>
      </w:r>
      <w:r w:rsidRPr="00A20F0A">
        <w:rPr>
          <w:rFonts w:ascii="新細明體" w:hAnsi="新細明體" w:cs="新細明體" w:hint="eastAsia"/>
        </w:rPr>
        <w:t>及</w:t>
      </w:r>
      <w:r>
        <w:rPr>
          <w:rFonts w:hint="eastAsia"/>
        </w:rPr>
        <w:t>1.9%</w:t>
      </w:r>
      <w:r>
        <w:rPr>
          <w:rFonts w:ascii="新細明體" w:hAnsi="新細明體" w:cs="新細明體" w:hint="eastAsia"/>
        </w:rPr>
        <w:t>，而扣除非本地勞動力，本地居民失業率在</w:t>
      </w:r>
      <w:r>
        <w:rPr>
          <w:rFonts w:hint="eastAsia"/>
        </w:rPr>
        <w:t>201</w:t>
      </w:r>
      <w:r>
        <w:t>8</w:t>
      </w:r>
      <w:r>
        <w:rPr>
          <w:rFonts w:ascii="新細明體" w:hAnsi="新細明體" w:cs="新細明體" w:hint="eastAsia"/>
        </w:rPr>
        <w:t>年</w:t>
      </w:r>
      <w:r w:rsidRPr="00A20F0A">
        <w:rPr>
          <w:rFonts w:ascii="新細明體" w:hAnsi="新細明體" w:cs="新細明體" w:hint="eastAsia"/>
        </w:rPr>
        <w:t>及</w:t>
      </w:r>
      <w:r>
        <w:t>2019</w:t>
      </w:r>
      <w:r>
        <w:rPr>
          <w:rFonts w:ascii="新細明體" w:hAnsi="新細明體" w:cs="新細明體" w:hint="eastAsia"/>
        </w:rPr>
        <w:t>年預計</w:t>
      </w:r>
      <w:r w:rsidRPr="007D3105">
        <w:rPr>
          <w:rFonts w:ascii="新細明體" w:hAnsi="新細明體" w:cs="新細明體" w:hint="eastAsia"/>
        </w:rPr>
        <w:t>分別</w:t>
      </w:r>
      <w:r>
        <w:rPr>
          <w:rFonts w:ascii="新細明體" w:hAnsi="新細明體" w:cs="新細明體" w:hint="eastAsia"/>
        </w:rPr>
        <w:t>為</w:t>
      </w:r>
      <w:r>
        <w:rPr>
          <w:rFonts w:hint="eastAsia"/>
        </w:rPr>
        <w:t>2.6</w:t>
      </w:r>
      <w:r>
        <w:t>%</w:t>
      </w:r>
      <w:r>
        <w:rPr>
          <w:rFonts w:ascii="新細明體" w:hAnsi="新細明體" w:cs="新細明體" w:hint="eastAsia"/>
        </w:rPr>
        <w:t>及</w:t>
      </w:r>
      <w:r>
        <w:t>2.</w:t>
      </w:r>
      <w:r>
        <w:rPr>
          <w:rFonts w:hint="eastAsia"/>
        </w:rPr>
        <w:t>5</w:t>
      </w:r>
      <w:r>
        <w:t>%</w:t>
      </w:r>
      <w:r>
        <w:rPr>
          <w:rFonts w:ascii="新細明體" w:hAnsi="新細明體" w:cs="新細明體" w:hint="eastAsia"/>
        </w:rPr>
        <w:t>。工作收入方面，每月工作收入中位數在</w:t>
      </w:r>
      <w:r>
        <w:rPr>
          <w:rFonts w:hint="eastAsia"/>
        </w:rPr>
        <w:t>201</w:t>
      </w:r>
      <w:r>
        <w:t>8</w:t>
      </w:r>
      <w:r>
        <w:rPr>
          <w:rFonts w:ascii="新細明體" w:hAnsi="新細明體" w:cs="新細明體" w:hint="eastAsia"/>
        </w:rPr>
        <w:t>年預計為</w:t>
      </w:r>
      <w:r>
        <w:t>16,</w:t>
      </w:r>
      <w:r>
        <w:rPr>
          <w:rFonts w:hint="eastAsia"/>
        </w:rPr>
        <w:t>077</w:t>
      </w:r>
      <w:r>
        <w:rPr>
          <w:rFonts w:hint="eastAsia"/>
        </w:rPr>
        <w:t>澳門元</w:t>
      </w:r>
      <w:r>
        <w:rPr>
          <w:rFonts w:ascii="新細明體" w:hAnsi="新細明體" w:cs="新細明體" w:hint="eastAsia"/>
        </w:rPr>
        <w:t>，而在</w:t>
      </w:r>
      <w:r>
        <w:rPr>
          <w:rFonts w:hint="eastAsia"/>
        </w:rPr>
        <w:t>201</w:t>
      </w:r>
      <w:r>
        <w:t>9</w:t>
      </w:r>
      <w:r>
        <w:rPr>
          <w:rFonts w:ascii="新細明體" w:hAnsi="新細明體" w:cs="新細明體" w:hint="eastAsia"/>
        </w:rPr>
        <w:t>年</w:t>
      </w:r>
      <w:r w:rsidRPr="002F1F76">
        <w:rPr>
          <w:rFonts w:ascii="新細明體" w:hAnsi="新細明體" w:cs="新細明體" w:hint="eastAsia"/>
        </w:rPr>
        <w:t>則</w:t>
      </w:r>
      <w:r>
        <w:rPr>
          <w:rFonts w:ascii="新細明體" w:hAnsi="新細明體" w:cs="新細明體" w:hint="eastAsia"/>
        </w:rPr>
        <w:t>預計為</w:t>
      </w:r>
      <w:r>
        <w:t>16,</w:t>
      </w:r>
      <w:r>
        <w:rPr>
          <w:rFonts w:hint="eastAsia"/>
        </w:rPr>
        <w:t>638</w:t>
      </w:r>
      <w:r>
        <w:rPr>
          <w:rFonts w:hint="eastAsia"/>
        </w:rPr>
        <w:t>澳門元</w:t>
      </w:r>
      <w:r w:rsidR="00BE3103">
        <w:rPr>
          <w:rFonts w:ascii="新細明體" w:hAnsi="新細明體" w:cs="新細明體" w:hint="eastAsia"/>
        </w:rPr>
        <w:t>。</w:t>
      </w:r>
    </w:p>
    <w:p w:rsidR="00BE3103" w:rsidRDefault="00BE3103" w:rsidP="00CB1799">
      <w:pPr>
        <w:adjustRightInd w:val="0"/>
        <w:snapToGrid w:val="0"/>
        <w:spacing w:line="320" w:lineRule="exact"/>
        <w:jc w:val="both"/>
        <w:textAlignment w:val="baseline"/>
        <w:rPr>
          <w:kern w:val="0"/>
          <w:szCs w:val="24"/>
        </w:rPr>
      </w:pPr>
    </w:p>
    <w:p w:rsidR="00CB1799" w:rsidRDefault="00240DA0" w:rsidP="00CB1799">
      <w:pPr>
        <w:adjustRightInd w:val="0"/>
        <w:snapToGrid w:val="0"/>
        <w:spacing w:line="320" w:lineRule="exact"/>
        <w:jc w:val="both"/>
        <w:textAlignment w:val="baseline"/>
        <w:rPr>
          <w:kern w:val="0"/>
          <w:szCs w:val="24"/>
        </w:rPr>
      </w:pPr>
      <w:bookmarkStart w:id="22" w:name="_Hlk517086855"/>
      <w:r>
        <w:rPr>
          <w:rFonts w:ascii="新細明體" w:hAnsi="新細明體" w:cs="新細明體" w:hint="eastAsia"/>
        </w:rPr>
        <w:t>整體而言，</w:t>
      </w:r>
      <w:r>
        <w:t>2018</w:t>
      </w:r>
      <w:r>
        <w:rPr>
          <w:rFonts w:ascii="新細明體" w:hAnsi="新細明體" w:cs="新細明體" w:hint="eastAsia"/>
        </w:rPr>
        <w:t>年澳門本地生產總值預計增長</w:t>
      </w:r>
      <w:r>
        <w:rPr>
          <w:rFonts w:hint="eastAsia"/>
        </w:rPr>
        <w:t>8.3</w:t>
      </w:r>
      <w:r>
        <w:t>%</w:t>
      </w:r>
      <w:r>
        <w:rPr>
          <w:rFonts w:ascii="新細明體" w:hAnsi="新細明體" w:cs="新細明體" w:hint="eastAsia"/>
        </w:rPr>
        <w:t>，預測區間由較悲觀的上升</w:t>
      </w:r>
      <w:r>
        <w:rPr>
          <w:rFonts w:hint="eastAsia"/>
        </w:rPr>
        <w:t>5.1</w:t>
      </w:r>
      <w:r>
        <w:t>%</w:t>
      </w:r>
      <w:r>
        <w:rPr>
          <w:rFonts w:ascii="新細明體" w:hAnsi="新細明體" w:cs="新細明體" w:hint="eastAsia"/>
        </w:rPr>
        <w:t>至較樂觀的上升</w:t>
      </w:r>
      <w:r>
        <w:rPr>
          <w:rFonts w:hint="eastAsia"/>
        </w:rPr>
        <w:t>11.6</w:t>
      </w:r>
      <w:r>
        <w:t>%</w:t>
      </w:r>
      <w:r>
        <w:rPr>
          <w:rFonts w:ascii="新細明體" w:hAnsi="新細明體" w:cs="新細明體" w:hint="eastAsia"/>
        </w:rPr>
        <w:t>，而</w:t>
      </w:r>
      <w:r>
        <w:t>2019</w:t>
      </w:r>
      <w:r>
        <w:rPr>
          <w:rFonts w:ascii="新細明體" w:hAnsi="新細明體" w:cs="新細明體" w:hint="eastAsia"/>
        </w:rPr>
        <w:t>年預計增長</w:t>
      </w:r>
      <w:r>
        <w:rPr>
          <w:rFonts w:hint="eastAsia"/>
        </w:rPr>
        <w:t>7.1</w:t>
      </w:r>
      <w:r>
        <w:t>%</w:t>
      </w:r>
      <w:r>
        <w:rPr>
          <w:rFonts w:ascii="新細明體" w:hAnsi="新細明體" w:cs="新細明體" w:hint="eastAsia"/>
        </w:rPr>
        <w:t>，預測區間由較悲觀的</w:t>
      </w:r>
      <w:r>
        <w:rPr>
          <w:rFonts w:hint="eastAsia"/>
        </w:rPr>
        <w:t>下跌</w:t>
      </w:r>
      <w:r>
        <w:rPr>
          <w:rFonts w:hint="eastAsia"/>
        </w:rPr>
        <w:t>2.4</w:t>
      </w:r>
      <w:r>
        <w:t>%</w:t>
      </w:r>
      <w:r>
        <w:rPr>
          <w:rFonts w:ascii="新細明體" w:hAnsi="新細明體" w:cs="新細明體" w:hint="eastAsia"/>
        </w:rPr>
        <w:t>至較樂觀的上升</w:t>
      </w:r>
      <w:r>
        <w:rPr>
          <w:rFonts w:hint="eastAsia"/>
        </w:rPr>
        <w:t>16.6</w:t>
      </w:r>
      <w:r>
        <w:t>%</w:t>
      </w:r>
      <w:r>
        <w:rPr>
          <w:rFonts w:ascii="新細明體" w:hAnsi="新細明體" w:cs="新細明體" w:hint="eastAsia"/>
        </w:rPr>
        <w:t>。基於服務出口深受</w:t>
      </w:r>
      <w:r w:rsidRPr="00134EE9">
        <w:rPr>
          <w:rFonts w:ascii="新細明體" w:hAnsi="新細明體" w:cs="新細明體" w:hint="eastAsia"/>
        </w:rPr>
        <w:t>外圍</w:t>
      </w:r>
      <w:r>
        <w:rPr>
          <w:rFonts w:ascii="新細明體" w:hAnsi="新細明體" w:cs="新細明體" w:hint="eastAsia"/>
        </w:rPr>
        <w:t>經濟</w:t>
      </w:r>
      <w:r w:rsidRPr="00134EE9">
        <w:rPr>
          <w:rFonts w:ascii="新細明體" w:hAnsi="新細明體" w:cs="新細明體" w:hint="eastAsia"/>
        </w:rPr>
        <w:t>因素</w:t>
      </w:r>
      <w:r w:rsidRPr="00A20F0A">
        <w:rPr>
          <w:rFonts w:ascii="新細明體" w:hAnsi="新細明體" w:cs="新細明體" w:hint="eastAsia"/>
        </w:rPr>
        <w:t>及</w:t>
      </w:r>
      <w:r>
        <w:rPr>
          <w:rFonts w:ascii="新細明體" w:hAnsi="新細明體" w:cs="新細明體" w:hint="eastAsia"/>
        </w:rPr>
        <w:t>政策影響，短期可能出現較大波動，研究團隊將會</w:t>
      </w:r>
      <w:r w:rsidRPr="00134EE9">
        <w:rPr>
          <w:rFonts w:ascii="新細明體" w:hAnsi="新細明體" w:cs="新細明體" w:hint="eastAsia"/>
        </w:rPr>
        <w:t>定期</w:t>
      </w:r>
      <w:r>
        <w:rPr>
          <w:rFonts w:ascii="新細明體" w:hAnsi="新細明體" w:cs="新細明體" w:hint="eastAsia"/>
        </w:rPr>
        <w:t>以最新數據更新預測</w:t>
      </w:r>
      <w:bookmarkEnd w:id="22"/>
      <w:r w:rsidR="00CB1799" w:rsidRPr="00CB1799">
        <w:rPr>
          <w:rFonts w:hint="eastAsia"/>
          <w:kern w:val="0"/>
          <w:szCs w:val="24"/>
        </w:rPr>
        <w:t>。</w:t>
      </w:r>
    </w:p>
    <w:p w:rsidR="00CB1799" w:rsidRPr="00CB1799" w:rsidRDefault="00CB1799" w:rsidP="00CB1799">
      <w:pPr>
        <w:adjustRightInd w:val="0"/>
        <w:snapToGrid w:val="0"/>
        <w:spacing w:line="320" w:lineRule="exact"/>
        <w:jc w:val="both"/>
        <w:textAlignment w:val="baseline"/>
        <w:rPr>
          <w:b/>
          <w:bCs/>
          <w:kern w:val="0"/>
          <w:szCs w:val="24"/>
          <w:lang w:val="en-GB"/>
        </w:rPr>
      </w:pPr>
    </w:p>
    <w:p w:rsidR="00CB1799" w:rsidRPr="00CB1799" w:rsidRDefault="00CB1799" w:rsidP="00CB1799">
      <w:pPr>
        <w:adjustRightInd w:val="0"/>
        <w:snapToGrid w:val="0"/>
        <w:spacing w:line="320" w:lineRule="exact"/>
        <w:jc w:val="both"/>
        <w:textAlignment w:val="baseline"/>
        <w:rPr>
          <w:kern w:val="0"/>
          <w:szCs w:val="24"/>
        </w:rPr>
      </w:pPr>
      <w:r w:rsidRPr="00CB1799">
        <w:rPr>
          <w:rFonts w:hint="eastAsia"/>
          <w:b/>
          <w:bCs/>
          <w:kern w:val="0"/>
          <w:szCs w:val="24"/>
          <w:lang w:val="en-GB"/>
        </w:rPr>
        <w:t>《</w:t>
      </w:r>
      <w:r w:rsidRPr="00CB1799">
        <w:rPr>
          <w:b/>
          <w:bCs/>
          <w:kern w:val="0"/>
          <w:szCs w:val="24"/>
          <w:u w:val="single"/>
          <w:lang w:val="en-GB"/>
        </w:rPr>
        <w:t>澳門宏觀</w:t>
      </w:r>
      <w:r w:rsidRPr="00CB1799">
        <w:rPr>
          <w:rFonts w:hint="eastAsia"/>
          <w:b/>
          <w:bCs/>
          <w:kern w:val="0"/>
          <w:szCs w:val="24"/>
          <w:u w:val="single"/>
          <w:lang w:val="en-GB"/>
        </w:rPr>
        <w:t>經濟</w:t>
      </w:r>
      <w:r w:rsidRPr="00CB1799">
        <w:rPr>
          <w:b/>
          <w:bCs/>
          <w:kern w:val="0"/>
          <w:szCs w:val="24"/>
          <w:u w:val="single"/>
          <w:lang w:val="en-GB"/>
        </w:rPr>
        <w:t>模型</w:t>
      </w:r>
      <w:r w:rsidRPr="00CB1799">
        <w:rPr>
          <w:rFonts w:hint="eastAsia"/>
          <w:b/>
          <w:bCs/>
          <w:kern w:val="0"/>
          <w:szCs w:val="24"/>
          <w:lang w:val="en-GB"/>
        </w:rPr>
        <w:t>》</w:t>
      </w:r>
      <w:r w:rsidRPr="00CB1799">
        <w:rPr>
          <w:b/>
          <w:bCs/>
          <w:kern w:val="0"/>
          <w:szCs w:val="24"/>
          <w:u w:val="single"/>
          <w:lang w:val="en-GB"/>
        </w:rPr>
        <w:t>簡介</w:t>
      </w:r>
    </w:p>
    <w:p w:rsidR="00C77154" w:rsidRDefault="00CB1799" w:rsidP="00CB1799">
      <w:pPr>
        <w:adjustRightInd w:val="0"/>
        <w:snapToGrid w:val="0"/>
        <w:spacing w:line="320" w:lineRule="exact"/>
        <w:jc w:val="both"/>
        <w:textAlignment w:val="baseline"/>
        <w:rPr>
          <w:kern w:val="0"/>
          <w:szCs w:val="24"/>
          <w:lang w:val="pt-PT"/>
        </w:rPr>
      </w:pPr>
      <w:r w:rsidRPr="00CB1799">
        <w:rPr>
          <w:rFonts w:hint="eastAsia"/>
          <w:kern w:val="0"/>
          <w:szCs w:val="24"/>
        </w:rPr>
        <w:lastRenderedPageBreak/>
        <w:t>《澳門宏觀經濟模型</w:t>
      </w:r>
      <w:r w:rsidRPr="00CB1799">
        <w:rPr>
          <w:rFonts w:hint="eastAsia"/>
          <w:kern w:val="0"/>
          <w:szCs w:val="24"/>
          <w:lang w:val="en-GB"/>
        </w:rPr>
        <w:t>》</w:t>
      </w:r>
      <w:r w:rsidRPr="00CB1799">
        <w:rPr>
          <w:rFonts w:hint="eastAsia"/>
          <w:kern w:val="0"/>
          <w:szCs w:val="24"/>
        </w:rPr>
        <w:t>是一個大型季度聯立方程計量模型，目前包含澳門經濟中七個主要部分</w:t>
      </w:r>
      <w:r w:rsidR="00DF7B00">
        <w:rPr>
          <w:rFonts w:hint="eastAsia"/>
          <w:kern w:val="0"/>
          <w:szCs w:val="24"/>
        </w:rPr>
        <w:t>：</w:t>
      </w:r>
      <w:r w:rsidRPr="00CB1799">
        <w:rPr>
          <w:rFonts w:hint="eastAsia"/>
          <w:kern w:val="0"/>
          <w:szCs w:val="24"/>
        </w:rPr>
        <w:t>消費</w:t>
      </w:r>
      <w:r w:rsidR="00DF7B00">
        <w:rPr>
          <w:rFonts w:hint="eastAsia"/>
          <w:kern w:val="0"/>
          <w:szCs w:val="24"/>
        </w:rPr>
        <w:t>、</w:t>
      </w:r>
      <w:r w:rsidRPr="00CB1799">
        <w:rPr>
          <w:rFonts w:hint="eastAsia"/>
          <w:kern w:val="0"/>
          <w:szCs w:val="24"/>
        </w:rPr>
        <w:t>投資對外貿易</w:t>
      </w:r>
      <w:r w:rsidR="00DF7B00">
        <w:rPr>
          <w:rFonts w:hint="eastAsia"/>
          <w:kern w:val="0"/>
          <w:szCs w:val="24"/>
        </w:rPr>
        <w:t>、</w:t>
      </w:r>
      <w:r w:rsidRPr="00CB1799">
        <w:rPr>
          <w:rFonts w:hint="eastAsia"/>
          <w:kern w:val="0"/>
          <w:szCs w:val="24"/>
        </w:rPr>
        <w:t>價格</w:t>
      </w:r>
      <w:r w:rsidR="00DF7B00">
        <w:rPr>
          <w:rFonts w:hint="eastAsia"/>
          <w:kern w:val="0"/>
          <w:szCs w:val="24"/>
        </w:rPr>
        <w:t>、</w:t>
      </w:r>
      <w:r w:rsidRPr="00CB1799">
        <w:rPr>
          <w:rFonts w:hint="eastAsia"/>
          <w:kern w:val="0"/>
          <w:szCs w:val="24"/>
        </w:rPr>
        <w:t>政府部門</w:t>
      </w:r>
      <w:r w:rsidR="00DF7B00">
        <w:rPr>
          <w:rFonts w:hint="eastAsia"/>
          <w:kern w:val="0"/>
          <w:szCs w:val="24"/>
        </w:rPr>
        <w:t>、</w:t>
      </w:r>
      <w:r w:rsidRPr="00CB1799">
        <w:rPr>
          <w:rFonts w:hint="eastAsia"/>
          <w:kern w:val="0"/>
          <w:szCs w:val="24"/>
          <w:lang w:val="en-GB"/>
        </w:rPr>
        <w:t>就業</w:t>
      </w:r>
      <w:r w:rsidRPr="00CB1799">
        <w:rPr>
          <w:rFonts w:hint="eastAsia"/>
          <w:kern w:val="0"/>
          <w:szCs w:val="24"/>
        </w:rPr>
        <w:t>市場，以及金融系統，所用數據由</w:t>
      </w:r>
      <w:r w:rsidRPr="00CB1799">
        <w:rPr>
          <w:kern w:val="0"/>
          <w:szCs w:val="24"/>
        </w:rPr>
        <w:t>1998</w:t>
      </w:r>
      <w:r w:rsidRPr="00CB1799">
        <w:rPr>
          <w:rFonts w:hint="eastAsia"/>
          <w:kern w:val="0"/>
          <w:szCs w:val="24"/>
        </w:rPr>
        <w:t>年第</w:t>
      </w:r>
      <w:r w:rsidRPr="00CB1799">
        <w:rPr>
          <w:kern w:val="0"/>
          <w:szCs w:val="24"/>
        </w:rPr>
        <w:t>1</w:t>
      </w:r>
      <w:r w:rsidRPr="00CB1799">
        <w:rPr>
          <w:rFonts w:hint="eastAsia"/>
          <w:kern w:val="0"/>
          <w:szCs w:val="24"/>
        </w:rPr>
        <w:t>季開始，模型估算會隨</w:t>
      </w:r>
      <w:r w:rsidR="00DF7B00">
        <w:rPr>
          <w:rFonts w:hint="eastAsia"/>
          <w:kern w:val="0"/>
          <w:szCs w:val="24"/>
          <w:lang w:val="en-GB"/>
        </w:rPr>
        <w:t>著</w:t>
      </w:r>
      <w:r w:rsidRPr="00CB1799">
        <w:rPr>
          <w:rFonts w:hint="eastAsia"/>
          <w:kern w:val="0"/>
          <w:szCs w:val="24"/>
        </w:rPr>
        <w:t>數據發表而定時更新，提供及時及有用的澳門經濟分析，協助決策者對未來作出合理的規劃。</w:t>
      </w:r>
    </w:p>
    <w:p w:rsidR="00C77154" w:rsidRPr="00DF7B00" w:rsidRDefault="00C77154" w:rsidP="00C77154">
      <w:pPr>
        <w:textAlignment w:val="baseline"/>
        <w:rPr>
          <w:kern w:val="0"/>
          <w:szCs w:val="24"/>
          <w:lang w:val="pt-PT"/>
        </w:rPr>
      </w:pPr>
    </w:p>
    <w:p w:rsidR="00CB1799" w:rsidRDefault="00CB1799" w:rsidP="00C77154">
      <w:pPr>
        <w:textAlignment w:val="baseline"/>
        <w:rPr>
          <w:kern w:val="0"/>
          <w:szCs w:val="24"/>
          <w:lang w:val="pt-PT"/>
        </w:rPr>
      </w:pPr>
    </w:p>
    <w:tbl>
      <w:tblPr>
        <w:tblW w:w="9604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12"/>
        <w:gridCol w:w="1151"/>
        <w:gridCol w:w="1151"/>
        <w:gridCol w:w="1049"/>
        <w:gridCol w:w="992"/>
        <w:gridCol w:w="992"/>
        <w:gridCol w:w="957"/>
      </w:tblGrid>
      <w:tr w:rsidR="00CB1799" w:rsidTr="00CB1799">
        <w:trPr>
          <w:trHeight w:val="315"/>
        </w:trPr>
        <w:tc>
          <w:tcPr>
            <w:tcW w:w="9604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B1799" w:rsidRDefault="00CB1799" w:rsidP="00D82369">
            <w:pPr>
              <w:jc w:val="center"/>
            </w:pPr>
            <w:r>
              <w:rPr>
                <w:rFonts w:ascii="新細明體" w:hAnsi="新細明體" w:cs="Arial" w:hint="eastAsia"/>
                <w:b/>
                <w:bCs/>
              </w:rPr>
              <w:t xml:space="preserve">表 </w:t>
            </w:r>
            <w:r>
              <w:rPr>
                <w:rFonts w:ascii="新細明體" w:hAnsi="新細明體" w:cs="新細明體" w:hint="eastAsia"/>
                <w:b/>
                <w:bCs/>
              </w:rPr>
              <w:t xml:space="preserve">: </w:t>
            </w:r>
            <w:r>
              <w:rPr>
                <w:rFonts w:ascii="新細明體" w:hAnsi="新細明體" w:cs="Arial" w:hint="eastAsia"/>
                <w:b/>
                <w:bCs/>
              </w:rPr>
              <w:t>主要經濟指標預測</w:t>
            </w:r>
          </w:p>
        </w:tc>
      </w:tr>
      <w:tr w:rsidR="00357C34" w:rsidTr="002E57DB">
        <w:trPr>
          <w:trHeight w:val="329"/>
        </w:trPr>
        <w:tc>
          <w:tcPr>
            <w:tcW w:w="3312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357C34" w:rsidRDefault="00357C34" w:rsidP="00357C34"/>
        </w:tc>
        <w:tc>
          <w:tcPr>
            <w:tcW w:w="115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357C34" w:rsidRDefault="00357C34" w:rsidP="00357C34">
            <w:pPr>
              <w:jc w:val="center"/>
            </w:pPr>
            <w:r>
              <w:t>201</w:t>
            </w:r>
            <w:r>
              <w:rPr>
                <w:rFonts w:hint="eastAsia"/>
              </w:rPr>
              <w:t>4</w:t>
            </w:r>
          </w:p>
        </w:tc>
        <w:tc>
          <w:tcPr>
            <w:tcW w:w="115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357C34" w:rsidRDefault="00357C34" w:rsidP="00357C34">
            <w:pPr>
              <w:jc w:val="center"/>
            </w:pPr>
            <w:r>
              <w:rPr>
                <w:rFonts w:hint="eastAsia"/>
              </w:rPr>
              <w:t>2015</w:t>
            </w:r>
          </w:p>
        </w:tc>
        <w:tc>
          <w:tcPr>
            <w:tcW w:w="104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357C34" w:rsidRDefault="00357C34" w:rsidP="00357C34">
            <w:pPr>
              <w:jc w:val="center"/>
            </w:pPr>
            <w:r>
              <w:rPr>
                <w:rFonts w:hint="eastAsia"/>
              </w:rPr>
              <w:t>2016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357C34" w:rsidRDefault="00357C34" w:rsidP="00357C34">
            <w:pPr>
              <w:jc w:val="center"/>
            </w:pPr>
            <w:r>
              <w:rPr>
                <w:rFonts w:hint="eastAsia"/>
              </w:rPr>
              <w:t>2017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357C34" w:rsidRDefault="00357C34" w:rsidP="00357C34">
            <w:pPr>
              <w:jc w:val="center"/>
            </w:pPr>
            <w:r>
              <w:rPr>
                <w:rFonts w:hint="eastAsia"/>
              </w:rPr>
              <w:t>201</w:t>
            </w:r>
            <w:r>
              <w:t>8</w:t>
            </w:r>
          </w:p>
        </w:tc>
        <w:tc>
          <w:tcPr>
            <w:tcW w:w="957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57C34" w:rsidRDefault="00357C34" w:rsidP="00357C34">
            <w:pPr>
              <w:jc w:val="center"/>
            </w:pPr>
            <w:r>
              <w:rPr>
                <w:rFonts w:hint="eastAsia"/>
              </w:rPr>
              <w:t>201</w:t>
            </w:r>
            <w:r>
              <w:t>9</w:t>
            </w:r>
          </w:p>
        </w:tc>
      </w:tr>
      <w:tr w:rsidR="00357C34" w:rsidTr="002E57DB">
        <w:trPr>
          <w:trHeight w:val="301"/>
        </w:trPr>
        <w:tc>
          <w:tcPr>
            <w:tcW w:w="3312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357C34" w:rsidRDefault="00357C34" w:rsidP="00357C34">
            <w:r>
              <w:rPr>
                <w:rFonts w:hint="eastAsia"/>
                <w:b/>
                <w:bCs/>
              </w:rPr>
              <w:t>數值</w:t>
            </w:r>
          </w:p>
        </w:tc>
        <w:tc>
          <w:tcPr>
            <w:tcW w:w="115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357C34" w:rsidRDefault="00357C34" w:rsidP="00357C34">
            <w:pPr>
              <w:jc w:val="center"/>
            </w:pPr>
            <w:r>
              <w:t>(</w:t>
            </w:r>
            <w:r>
              <w:rPr>
                <w:rFonts w:hint="eastAsia"/>
              </w:rPr>
              <w:t>實際值</w:t>
            </w:r>
            <w:r>
              <w:t>)</w:t>
            </w:r>
          </w:p>
        </w:tc>
        <w:tc>
          <w:tcPr>
            <w:tcW w:w="115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357C34" w:rsidRDefault="00357C34" w:rsidP="00357C34">
            <w:pPr>
              <w:jc w:val="center"/>
            </w:pPr>
            <w:r>
              <w:t>(</w:t>
            </w:r>
            <w:r>
              <w:rPr>
                <w:rFonts w:hint="eastAsia"/>
              </w:rPr>
              <w:t>實際值</w:t>
            </w:r>
            <w:r>
              <w:t>)</w:t>
            </w:r>
          </w:p>
        </w:tc>
        <w:tc>
          <w:tcPr>
            <w:tcW w:w="104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357C34" w:rsidRDefault="00357C34" w:rsidP="00357C34">
            <w:pPr>
              <w:jc w:val="center"/>
            </w:pPr>
            <w:r>
              <w:t>(</w:t>
            </w:r>
            <w:r>
              <w:rPr>
                <w:rFonts w:hint="eastAsia"/>
              </w:rPr>
              <w:t>實際值</w:t>
            </w:r>
            <w:r>
              <w:t>)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357C34" w:rsidRDefault="00357C34" w:rsidP="00357C34">
            <w:pPr>
              <w:jc w:val="center"/>
            </w:pPr>
            <w:r>
              <w:t>(</w:t>
            </w:r>
            <w:r>
              <w:rPr>
                <w:rFonts w:hint="eastAsia"/>
              </w:rPr>
              <w:t>實際值</w:t>
            </w:r>
            <w:r>
              <w:t>)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357C34" w:rsidRDefault="00357C34" w:rsidP="00357C34">
            <w:pPr>
              <w:jc w:val="center"/>
            </w:pPr>
            <w:r>
              <w:t>(</w:t>
            </w:r>
            <w:r>
              <w:rPr>
                <w:rFonts w:hint="eastAsia"/>
              </w:rPr>
              <w:t>預測值</w:t>
            </w:r>
            <w:r>
              <w:t>)</w:t>
            </w:r>
          </w:p>
        </w:tc>
        <w:tc>
          <w:tcPr>
            <w:tcW w:w="957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57C34" w:rsidRDefault="00357C34" w:rsidP="00357C34">
            <w:pPr>
              <w:jc w:val="center"/>
            </w:pPr>
            <w:r>
              <w:t>(</w:t>
            </w:r>
            <w:r>
              <w:rPr>
                <w:rFonts w:hint="eastAsia"/>
              </w:rPr>
              <w:t>預測值</w:t>
            </w:r>
            <w:r>
              <w:t>)</w:t>
            </w:r>
          </w:p>
        </w:tc>
      </w:tr>
      <w:tr w:rsidR="00240DA0" w:rsidTr="002E57DB">
        <w:trPr>
          <w:trHeight w:val="301"/>
        </w:trPr>
        <w:tc>
          <w:tcPr>
            <w:tcW w:w="33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Default="00240DA0" w:rsidP="00357C34">
            <w:bookmarkStart w:id="23" w:name="OLE_LINK8"/>
            <w:bookmarkStart w:id="24" w:name="OLE_LINK9"/>
            <w:bookmarkStart w:id="25" w:name="OLE_LINK1"/>
            <w:bookmarkEnd w:id="23"/>
            <w:bookmarkEnd w:id="24"/>
            <w:bookmarkEnd w:id="25"/>
            <w:r>
              <w:rPr>
                <w:rFonts w:hint="eastAsia"/>
              </w:rPr>
              <w:t>本地生產總值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億</w:t>
            </w:r>
            <w:r>
              <w:rPr>
                <w:rFonts w:hint="eastAsia"/>
              </w:rPr>
              <w:t>(201</w:t>
            </w:r>
            <w:r>
              <w:t>6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澳門元</w:t>
            </w:r>
            <w:r>
              <w:rPr>
                <w:rFonts w:hint="eastAsia"/>
              </w:rPr>
              <w:t>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Pr="00173CDB" w:rsidRDefault="00240DA0" w:rsidP="0059241E">
            <w:pPr>
              <w:jc w:val="right"/>
            </w:pPr>
            <w:r w:rsidRPr="00173CDB">
              <w:rPr>
                <w:rFonts w:hint="eastAsia"/>
              </w:rPr>
              <w:t>4,661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Pr="00173CDB" w:rsidRDefault="00240DA0" w:rsidP="0059241E">
            <w:pPr>
              <w:jc w:val="right"/>
            </w:pPr>
            <w:r w:rsidRPr="00173CDB">
              <w:rPr>
                <w:rFonts w:hint="eastAsia"/>
              </w:rPr>
              <w:t>3,654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Pr="00173CDB" w:rsidRDefault="00240DA0" w:rsidP="0059241E">
            <w:pPr>
              <w:jc w:val="right"/>
            </w:pPr>
            <w:r w:rsidRPr="00173CDB">
              <w:rPr>
                <w:rFonts w:hint="eastAsia"/>
              </w:rPr>
              <w:t>3,623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Pr="00173CDB" w:rsidRDefault="00240DA0" w:rsidP="0059241E">
            <w:pPr>
              <w:jc w:val="right"/>
            </w:pPr>
            <w:r w:rsidRPr="00173CDB">
              <w:rPr>
                <w:rFonts w:hint="eastAsia"/>
              </w:rPr>
              <w:t>3,952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Pr="00173CDB" w:rsidRDefault="00240DA0" w:rsidP="0059241E">
            <w:pPr>
              <w:jc w:val="right"/>
            </w:pPr>
            <w:r w:rsidRPr="00173CDB">
              <w:rPr>
                <w:rFonts w:hint="eastAsia"/>
              </w:rPr>
              <w:t>4,281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40DA0" w:rsidRPr="00173CDB" w:rsidRDefault="00240DA0" w:rsidP="0059241E">
            <w:pPr>
              <w:jc w:val="right"/>
            </w:pPr>
            <w:r w:rsidRPr="00173CDB">
              <w:rPr>
                <w:rFonts w:hint="eastAsia"/>
              </w:rPr>
              <w:t>4,583</w:t>
            </w:r>
          </w:p>
        </w:tc>
      </w:tr>
      <w:tr w:rsidR="00240DA0" w:rsidTr="002E57DB">
        <w:trPr>
          <w:trHeight w:val="315"/>
        </w:trPr>
        <w:tc>
          <w:tcPr>
            <w:tcW w:w="331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Default="00240DA0" w:rsidP="00357C34">
            <w:r>
              <w:rPr>
                <w:rFonts w:ascii="新細明體" w:hAnsi="新細明體" w:cs="新細明體" w:hint="eastAsia"/>
              </w:rPr>
              <w:t>私人消費支出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億</w:t>
            </w:r>
            <w:r>
              <w:rPr>
                <w:rFonts w:hint="eastAsia"/>
              </w:rPr>
              <w:t>(201</w:t>
            </w:r>
            <w:r>
              <w:t>6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澳門元</w:t>
            </w:r>
            <w:r>
              <w:rPr>
                <w:rFonts w:hint="eastAsia"/>
              </w:rPr>
              <w:t>)</w:t>
            </w:r>
          </w:p>
        </w:tc>
        <w:tc>
          <w:tcPr>
            <w:tcW w:w="1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Pr="00173CDB" w:rsidRDefault="00240DA0" w:rsidP="0059241E">
            <w:pPr>
              <w:jc w:val="right"/>
            </w:pPr>
            <w:r w:rsidRPr="00173CDB">
              <w:rPr>
                <w:rFonts w:hint="eastAsia"/>
              </w:rPr>
              <w:t>946</w:t>
            </w:r>
          </w:p>
        </w:tc>
        <w:tc>
          <w:tcPr>
            <w:tcW w:w="1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Pr="00173CDB" w:rsidRDefault="00240DA0" w:rsidP="0059241E">
            <w:pPr>
              <w:jc w:val="right"/>
            </w:pPr>
            <w:r w:rsidRPr="00173CDB">
              <w:rPr>
                <w:rFonts w:hint="eastAsia"/>
              </w:rPr>
              <w:t>966</w:t>
            </w: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Pr="00173CDB" w:rsidRDefault="00240DA0" w:rsidP="0059241E">
            <w:pPr>
              <w:jc w:val="right"/>
            </w:pPr>
            <w:r w:rsidRPr="00173CDB">
              <w:rPr>
                <w:rFonts w:hint="eastAsia"/>
              </w:rPr>
              <w:t>955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Pr="00173CDB" w:rsidRDefault="00240DA0" w:rsidP="0059241E">
            <w:pPr>
              <w:jc w:val="right"/>
            </w:pPr>
            <w:r w:rsidRPr="00173CDB">
              <w:rPr>
                <w:rFonts w:hint="eastAsia"/>
              </w:rPr>
              <w:t>970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Pr="00173CDB" w:rsidRDefault="00240DA0" w:rsidP="0059241E">
            <w:pPr>
              <w:jc w:val="right"/>
            </w:pPr>
            <w:r w:rsidRPr="00173CDB">
              <w:rPr>
                <w:rFonts w:hint="eastAsia"/>
              </w:rPr>
              <w:t>1,019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40DA0" w:rsidRPr="00173CDB" w:rsidRDefault="00240DA0" w:rsidP="0059241E">
            <w:pPr>
              <w:jc w:val="right"/>
            </w:pPr>
            <w:r w:rsidRPr="00173CDB">
              <w:rPr>
                <w:rFonts w:hint="eastAsia"/>
              </w:rPr>
              <w:t>1,070</w:t>
            </w:r>
          </w:p>
        </w:tc>
      </w:tr>
      <w:tr w:rsidR="00240DA0" w:rsidTr="002E57DB">
        <w:trPr>
          <w:trHeight w:val="301"/>
        </w:trPr>
        <w:tc>
          <w:tcPr>
            <w:tcW w:w="331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Default="00240DA0" w:rsidP="00357C34">
            <w:pPr>
              <w:rPr>
                <w:rFonts w:ascii="新細明體" w:hAnsi="新細明體" w:cs="新細明體"/>
              </w:rPr>
            </w:pPr>
            <w:r>
              <w:rPr>
                <w:rFonts w:ascii="新細明體" w:hAnsi="新細明體" w:cs="新細明體" w:hint="eastAsia"/>
              </w:rPr>
              <w:t>固定資本形成總額</w:t>
            </w:r>
          </w:p>
          <w:p w:rsidR="00240DA0" w:rsidRDefault="00240DA0" w:rsidP="00357C34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億</w:t>
            </w:r>
            <w:r>
              <w:rPr>
                <w:rFonts w:hint="eastAsia"/>
              </w:rPr>
              <w:t>(201</w:t>
            </w:r>
            <w:r>
              <w:t>6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澳門元</w:t>
            </w:r>
            <w:r>
              <w:rPr>
                <w:rFonts w:hint="eastAsia"/>
              </w:rPr>
              <w:t>)</w:t>
            </w:r>
          </w:p>
        </w:tc>
        <w:tc>
          <w:tcPr>
            <w:tcW w:w="1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Pr="00173CDB" w:rsidRDefault="00240DA0" w:rsidP="0059241E">
            <w:pPr>
              <w:jc w:val="right"/>
            </w:pPr>
            <w:r w:rsidRPr="00173CDB">
              <w:rPr>
                <w:rFonts w:hint="eastAsia"/>
              </w:rPr>
              <w:t>846</w:t>
            </w:r>
          </w:p>
        </w:tc>
        <w:tc>
          <w:tcPr>
            <w:tcW w:w="1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Pr="00173CDB" w:rsidRDefault="00240DA0" w:rsidP="0059241E">
            <w:pPr>
              <w:jc w:val="right"/>
            </w:pPr>
            <w:r w:rsidRPr="00173CDB">
              <w:rPr>
                <w:rFonts w:hint="eastAsia"/>
              </w:rPr>
              <w:t>891</w:t>
            </w: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Pr="00173CDB" w:rsidRDefault="00240DA0" w:rsidP="0059241E">
            <w:pPr>
              <w:jc w:val="right"/>
            </w:pPr>
            <w:r w:rsidRPr="00173CDB">
              <w:rPr>
                <w:rFonts w:hint="eastAsia"/>
              </w:rPr>
              <w:t>786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Pr="00173CDB" w:rsidRDefault="00240DA0" w:rsidP="0059241E">
            <w:pPr>
              <w:jc w:val="right"/>
            </w:pPr>
            <w:r w:rsidRPr="00173CDB">
              <w:rPr>
                <w:rFonts w:hint="eastAsia"/>
              </w:rPr>
              <w:t>707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Pr="00173CDB" w:rsidRDefault="00240DA0" w:rsidP="0059241E">
            <w:pPr>
              <w:jc w:val="right"/>
            </w:pPr>
            <w:r w:rsidRPr="00173CDB">
              <w:rPr>
                <w:rFonts w:hint="eastAsia"/>
              </w:rPr>
              <w:t>667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40DA0" w:rsidRPr="00173CDB" w:rsidRDefault="00240DA0" w:rsidP="0059241E">
            <w:pPr>
              <w:jc w:val="right"/>
            </w:pPr>
            <w:r w:rsidRPr="00173CDB">
              <w:rPr>
                <w:rFonts w:hint="eastAsia"/>
              </w:rPr>
              <w:t>697</w:t>
            </w:r>
          </w:p>
        </w:tc>
      </w:tr>
      <w:tr w:rsidR="00240DA0" w:rsidTr="002E57DB">
        <w:trPr>
          <w:trHeight w:val="301"/>
        </w:trPr>
        <w:tc>
          <w:tcPr>
            <w:tcW w:w="331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Default="00240DA0" w:rsidP="00357C34">
            <w:r>
              <w:rPr>
                <w:rFonts w:ascii="新細明體" w:hAnsi="新細明體" w:cs="新細明體" w:hint="eastAsia"/>
              </w:rPr>
              <w:t>貨物出口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億</w:t>
            </w:r>
            <w:r>
              <w:rPr>
                <w:rFonts w:hint="eastAsia"/>
              </w:rPr>
              <w:t>(201</w:t>
            </w:r>
            <w:r>
              <w:t>6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澳門元</w:t>
            </w:r>
            <w:r>
              <w:rPr>
                <w:rFonts w:hint="eastAsia"/>
              </w:rPr>
              <w:t>)</w:t>
            </w:r>
          </w:p>
        </w:tc>
        <w:tc>
          <w:tcPr>
            <w:tcW w:w="1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Pr="00173CDB" w:rsidRDefault="00240DA0" w:rsidP="0059241E">
            <w:pPr>
              <w:jc w:val="right"/>
            </w:pPr>
            <w:r w:rsidRPr="00173CDB">
              <w:rPr>
                <w:rFonts w:hint="eastAsia"/>
              </w:rPr>
              <w:t>141</w:t>
            </w:r>
          </w:p>
        </w:tc>
        <w:tc>
          <w:tcPr>
            <w:tcW w:w="1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Pr="00173CDB" w:rsidRDefault="00240DA0" w:rsidP="0059241E">
            <w:pPr>
              <w:jc w:val="right"/>
            </w:pPr>
            <w:r w:rsidRPr="00173CDB">
              <w:rPr>
                <w:rFonts w:hint="eastAsia"/>
              </w:rPr>
              <w:t>155</w:t>
            </w: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Pr="00173CDB" w:rsidRDefault="00240DA0" w:rsidP="0059241E">
            <w:pPr>
              <w:jc w:val="right"/>
            </w:pPr>
            <w:r w:rsidRPr="00173CDB">
              <w:rPr>
                <w:rFonts w:hint="eastAsia"/>
              </w:rPr>
              <w:t>123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Pr="00173CDB" w:rsidRDefault="00240DA0" w:rsidP="0059241E">
            <w:pPr>
              <w:jc w:val="right"/>
            </w:pPr>
            <w:r w:rsidRPr="00173CDB">
              <w:rPr>
                <w:rFonts w:hint="eastAsia"/>
              </w:rPr>
              <w:t>139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Pr="00173CDB" w:rsidRDefault="00240DA0" w:rsidP="0059241E">
            <w:pPr>
              <w:jc w:val="right"/>
            </w:pPr>
            <w:r w:rsidRPr="00173CDB">
              <w:rPr>
                <w:rFonts w:hint="eastAsia"/>
              </w:rPr>
              <w:t>164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40DA0" w:rsidRPr="00173CDB" w:rsidRDefault="00240DA0" w:rsidP="0059241E">
            <w:pPr>
              <w:jc w:val="right"/>
            </w:pPr>
            <w:r w:rsidRPr="00173CDB">
              <w:rPr>
                <w:rFonts w:hint="eastAsia"/>
              </w:rPr>
              <w:t>173</w:t>
            </w:r>
          </w:p>
        </w:tc>
      </w:tr>
      <w:tr w:rsidR="00240DA0" w:rsidTr="002E57DB">
        <w:trPr>
          <w:trHeight w:val="301"/>
        </w:trPr>
        <w:tc>
          <w:tcPr>
            <w:tcW w:w="331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Default="00240DA0" w:rsidP="00357C34">
            <w:r>
              <w:rPr>
                <w:rFonts w:ascii="新細明體" w:hAnsi="新細明體" w:cs="新細明體" w:hint="eastAsia"/>
              </w:rPr>
              <w:t>服務出口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億</w:t>
            </w:r>
            <w:r>
              <w:rPr>
                <w:rFonts w:hint="eastAsia"/>
              </w:rPr>
              <w:t>(201</w:t>
            </w:r>
            <w:r>
              <w:t>6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澳門元</w:t>
            </w:r>
            <w:r>
              <w:rPr>
                <w:rFonts w:hint="eastAsia"/>
              </w:rPr>
              <w:t>)</w:t>
            </w:r>
          </w:p>
        </w:tc>
        <w:tc>
          <w:tcPr>
            <w:tcW w:w="1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Pr="00173CDB" w:rsidRDefault="00240DA0" w:rsidP="0059241E">
            <w:pPr>
              <w:jc w:val="right"/>
            </w:pPr>
            <w:r w:rsidRPr="00173CDB">
              <w:rPr>
                <w:rFonts w:hint="eastAsia"/>
              </w:rPr>
              <w:t>3,695</w:t>
            </w:r>
          </w:p>
        </w:tc>
        <w:tc>
          <w:tcPr>
            <w:tcW w:w="1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Pr="00173CDB" w:rsidRDefault="00240DA0" w:rsidP="0059241E">
            <w:pPr>
              <w:jc w:val="right"/>
            </w:pPr>
            <w:r w:rsidRPr="00173CDB">
              <w:rPr>
                <w:rFonts w:hint="eastAsia"/>
              </w:rPr>
              <w:t>2,658</w:t>
            </w: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Pr="00173CDB" w:rsidRDefault="00240DA0" w:rsidP="0059241E">
            <w:pPr>
              <w:jc w:val="right"/>
            </w:pPr>
            <w:r w:rsidRPr="00173CDB">
              <w:rPr>
                <w:rFonts w:hint="eastAsia"/>
              </w:rPr>
              <w:t>2,633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Pr="00173CDB" w:rsidRDefault="00240DA0" w:rsidP="0059241E">
            <w:pPr>
              <w:jc w:val="right"/>
            </w:pPr>
            <w:r w:rsidRPr="00173CDB">
              <w:rPr>
                <w:rFonts w:hint="eastAsia"/>
              </w:rPr>
              <w:t>3,039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Pr="00173CDB" w:rsidRDefault="00240DA0" w:rsidP="0059241E">
            <w:pPr>
              <w:jc w:val="right"/>
            </w:pPr>
            <w:r w:rsidRPr="00173CDB">
              <w:rPr>
                <w:rFonts w:hint="eastAsia"/>
              </w:rPr>
              <w:t>3,453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40DA0" w:rsidRPr="00173CDB" w:rsidRDefault="00240DA0" w:rsidP="0059241E">
            <w:pPr>
              <w:jc w:val="right"/>
            </w:pPr>
            <w:r w:rsidRPr="00173CDB">
              <w:rPr>
                <w:rFonts w:hint="eastAsia"/>
              </w:rPr>
              <w:t>3,754</w:t>
            </w:r>
          </w:p>
        </w:tc>
      </w:tr>
      <w:tr w:rsidR="00240DA0" w:rsidTr="002E57DB">
        <w:trPr>
          <w:trHeight w:val="301"/>
        </w:trPr>
        <w:tc>
          <w:tcPr>
            <w:tcW w:w="331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Default="00240DA0" w:rsidP="00357C34">
            <w:r>
              <w:rPr>
                <w:rFonts w:ascii="新細明體" w:hAnsi="新細明體" w:cs="新細明體" w:hint="eastAsia"/>
              </w:rPr>
              <w:t>貨物進口(億(</w:t>
            </w:r>
            <w:r>
              <w:rPr>
                <w:rFonts w:hint="eastAsia"/>
              </w:rPr>
              <w:t>201</w:t>
            </w:r>
            <w:r>
              <w:t>6</w:t>
            </w:r>
            <w:r>
              <w:rPr>
                <w:rFonts w:ascii="新細明體" w:hAnsi="新細明體" w:cs="新細明體" w:hint="eastAsia"/>
              </w:rPr>
              <w:t>)澳門元)</w:t>
            </w:r>
          </w:p>
        </w:tc>
        <w:tc>
          <w:tcPr>
            <w:tcW w:w="1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Pr="00173CDB" w:rsidRDefault="00240DA0" w:rsidP="0059241E">
            <w:pPr>
              <w:jc w:val="right"/>
            </w:pPr>
            <w:r w:rsidRPr="00173CDB">
              <w:rPr>
                <w:rFonts w:hint="eastAsia"/>
              </w:rPr>
              <w:t>1,057</w:t>
            </w:r>
          </w:p>
        </w:tc>
        <w:tc>
          <w:tcPr>
            <w:tcW w:w="1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Pr="00173CDB" w:rsidRDefault="00240DA0" w:rsidP="0059241E">
            <w:pPr>
              <w:jc w:val="right"/>
            </w:pPr>
            <w:r w:rsidRPr="00173CDB">
              <w:rPr>
                <w:rFonts w:hint="eastAsia"/>
              </w:rPr>
              <w:t>1,067</w:t>
            </w: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Pr="00173CDB" w:rsidRDefault="00240DA0" w:rsidP="0059241E">
            <w:pPr>
              <w:jc w:val="right"/>
            </w:pPr>
            <w:r w:rsidRPr="00173CDB">
              <w:rPr>
                <w:rFonts w:hint="eastAsia"/>
              </w:rPr>
              <w:t>923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Pr="00173CDB" w:rsidRDefault="00240DA0" w:rsidP="0059241E">
            <w:pPr>
              <w:jc w:val="right"/>
            </w:pPr>
            <w:r w:rsidRPr="00173CDB">
              <w:rPr>
                <w:rFonts w:hint="eastAsia"/>
              </w:rPr>
              <w:t>927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Pr="00173CDB" w:rsidRDefault="00240DA0" w:rsidP="0059241E">
            <w:pPr>
              <w:jc w:val="right"/>
            </w:pPr>
            <w:r w:rsidRPr="00173CDB">
              <w:rPr>
                <w:rFonts w:hint="eastAsia"/>
              </w:rPr>
              <w:t>997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40DA0" w:rsidRPr="00173CDB" w:rsidRDefault="00240DA0" w:rsidP="0059241E">
            <w:pPr>
              <w:jc w:val="right"/>
            </w:pPr>
            <w:r w:rsidRPr="00173CDB">
              <w:rPr>
                <w:rFonts w:hint="eastAsia"/>
              </w:rPr>
              <w:t>1,071</w:t>
            </w:r>
          </w:p>
        </w:tc>
      </w:tr>
      <w:tr w:rsidR="00240DA0" w:rsidTr="002E57DB">
        <w:trPr>
          <w:trHeight w:val="301"/>
        </w:trPr>
        <w:tc>
          <w:tcPr>
            <w:tcW w:w="331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Default="00240DA0" w:rsidP="00357C34">
            <w:r>
              <w:rPr>
                <w:rFonts w:ascii="新細明體" w:hAnsi="新細明體" w:cs="新細明體" w:hint="eastAsia"/>
              </w:rPr>
              <w:t>服務進口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億</w:t>
            </w:r>
            <w:r>
              <w:rPr>
                <w:rFonts w:hint="eastAsia"/>
              </w:rPr>
              <w:t>(201</w:t>
            </w:r>
            <w:r>
              <w:t>6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澳門元</w:t>
            </w:r>
            <w:r>
              <w:rPr>
                <w:rFonts w:hint="eastAsia"/>
              </w:rPr>
              <w:t>)</w:t>
            </w:r>
          </w:p>
        </w:tc>
        <w:tc>
          <w:tcPr>
            <w:tcW w:w="1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Pr="00173CDB" w:rsidRDefault="00240DA0" w:rsidP="0059241E">
            <w:pPr>
              <w:jc w:val="right"/>
            </w:pPr>
            <w:r w:rsidRPr="00173CDB">
              <w:rPr>
                <w:rFonts w:hint="eastAsia"/>
              </w:rPr>
              <w:t>323</w:t>
            </w:r>
          </w:p>
        </w:tc>
        <w:tc>
          <w:tcPr>
            <w:tcW w:w="1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Pr="00173CDB" w:rsidRDefault="00240DA0" w:rsidP="0059241E">
            <w:pPr>
              <w:jc w:val="right"/>
            </w:pPr>
            <w:r w:rsidRPr="00173CDB">
              <w:rPr>
                <w:rFonts w:hint="eastAsia"/>
              </w:rPr>
              <w:t>328</w:t>
            </w: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Pr="00173CDB" w:rsidRDefault="00240DA0" w:rsidP="0059241E">
            <w:pPr>
              <w:jc w:val="right"/>
            </w:pPr>
            <w:r w:rsidRPr="00173CDB">
              <w:rPr>
                <w:rFonts w:hint="eastAsia"/>
              </w:rPr>
              <w:t>327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Pr="00173CDB" w:rsidRDefault="00240DA0" w:rsidP="0059241E">
            <w:pPr>
              <w:jc w:val="right"/>
            </w:pPr>
            <w:r w:rsidRPr="00173CDB">
              <w:rPr>
                <w:rFonts w:hint="eastAsia"/>
              </w:rPr>
              <w:t>358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Pr="00173CDB" w:rsidRDefault="00240DA0" w:rsidP="0059241E">
            <w:pPr>
              <w:jc w:val="right"/>
            </w:pPr>
            <w:r w:rsidRPr="00173CDB">
              <w:rPr>
                <w:rFonts w:hint="eastAsia"/>
              </w:rPr>
              <w:t>421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40DA0" w:rsidRPr="00173CDB" w:rsidRDefault="00240DA0" w:rsidP="0059241E">
            <w:pPr>
              <w:jc w:val="right"/>
            </w:pPr>
            <w:r w:rsidRPr="00173CDB">
              <w:rPr>
                <w:rFonts w:hint="eastAsia"/>
              </w:rPr>
              <w:t>461</w:t>
            </w:r>
          </w:p>
        </w:tc>
      </w:tr>
      <w:tr w:rsidR="00240DA0" w:rsidTr="002E57DB">
        <w:trPr>
          <w:trHeight w:val="301"/>
        </w:trPr>
        <w:tc>
          <w:tcPr>
            <w:tcW w:w="331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Default="00240DA0" w:rsidP="00357C34">
            <w:r>
              <w:rPr>
                <w:rFonts w:hint="eastAsia"/>
              </w:rPr>
              <w:t>本地生產總值之平減物價指數</w:t>
            </w:r>
            <w:r>
              <w:t>(20</w:t>
            </w:r>
            <w:r>
              <w:rPr>
                <w:rFonts w:hint="eastAsia"/>
              </w:rPr>
              <w:t>1</w:t>
            </w:r>
            <w:r>
              <w:t>6 = 100)</w:t>
            </w:r>
          </w:p>
        </w:tc>
        <w:tc>
          <w:tcPr>
            <w:tcW w:w="1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Pr="00FA560D" w:rsidRDefault="00240DA0" w:rsidP="0059241E">
            <w:pPr>
              <w:jc w:val="right"/>
            </w:pPr>
            <w:r w:rsidRPr="00FA560D">
              <w:t>95.0</w:t>
            </w:r>
          </w:p>
        </w:tc>
        <w:tc>
          <w:tcPr>
            <w:tcW w:w="1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Pr="00FA560D" w:rsidRDefault="00240DA0" w:rsidP="0059241E">
            <w:pPr>
              <w:jc w:val="right"/>
            </w:pPr>
            <w:r w:rsidRPr="00FA560D">
              <w:t>99.1</w:t>
            </w: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Pr="00FA560D" w:rsidRDefault="00240DA0" w:rsidP="0059241E">
            <w:pPr>
              <w:jc w:val="right"/>
            </w:pPr>
            <w:r w:rsidRPr="00FA560D">
              <w:t>99.9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Pr="00FA560D" w:rsidRDefault="00240DA0" w:rsidP="0059241E">
            <w:pPr>
              <w:jc w:val="right"/>
            </w:pPr>
            <w:r w:rsidRPr="00FA560D">
              <w:t>102.2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Pr="00FA560D" w:rsidRDefault="00240DA0" w:rsidP="0059241E">
            <w:pPr>
              <w:jc w:val="right"/>
            </w:pPr>
            <w:r w:rsidRPr="00FA560D">
              <w:t>105.6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40DA0" w:rsidRPr="00FA560D" w:rsidRDefault="00240DA0" w:rsidP="0059241E">
            <w:pPr>
              <w:jc w:val="right"/>
            </w:pPr>
            <w:r w:rsidRPr="00FA560D">
              <w:t>109.9</w:t>
            </w:r>
          </w:p>
        </w:tc>
      </w:tr>
      <w:tr w:rsidR="00240DA0" w:rsidTr="002E57DB">
        <w:trPr>
          <w:trHeight w:val="315"/>
        </w:trPr>
        <w:tc>
          <w:tcPr>
            <w:tcW w:w="331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Default="00240DA0" w:rsidP="00357C34">
            <w:r>
              <w:rPr>
                <w:rFonts w:hint="eastAsia"/>
              </w:rPr>
              <w:t>消費者物價指數</w:t>
            </w:r>
            <w:r>
              <w:t>(</w:t>
            </w:r>
            <w:r>
              <w:rPr>
                <w:rFonts w:hint="eastAsia"/>
              </w:rPr>
              <w:t>綜合</w:t>
            </w:r>
            <w:r>
              <w:t>)(20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t>–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t>20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t xml:space="preserve"> = 100)</w:t>
            </w:r>
          </w:p>
        </w:tc>
        <w:tc>
          <w:tcPr>
            <w:tcW w:w="1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Pr="00FA560D" w:rsidRDefault="00240DA0" w:rsidP="0059241E">
            <w:pPr>
              <w:jc w:val="right"/>
            </w:pPr>
            <w:r w:rsidRPr="00FA560D">
              <w:t>101.1</w:t>
            </w:r>
          </w:p>
        </w:tc>
        <w:tc>
          <w:tcPr>
            <w:tcW w:w="1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Pr="00FA560D" w:rsidRDefault="00240DA0" w:rsidP="0059241E">
            <w:pPr>
              <w:jc w:val="right"/>
            </w:pPr>
            <w:r w:rsidRPr="00FA560D">
              <w:t>105.7</w:t>
            </w: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Pr="00FA560D" w:rsidRDefault="00240DA0" w:rsidP="0059241E">
            <w:pPr>
              <w:jc w:val="right"/>
            </w:pPr>
            <w:r w:rsidRPr="00FA560D">
              <w:t>108.2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Pr="00FA560D" w:rsidRDefault="00240DA0" w:rsidP="0059241E">
            <w:pPr>
              <w:jc w:val="right"/>
            </w:pPr>
            <w:r w:rsidRPr="00FA560D">
              <w:t>109.6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Pr="00FA560D" w:rsidRDefault="00240DA0" w:rsidP="0059241E">
            <w:pPr>
              <w:jc w:val="right"/>
            </w:pPr>
            <w:r w:rsidRPr="00FA560D">
              <w:t>113.2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40DA0" w:rsidRPr="00FA560D" w:rsidRDefault="00240DA0" w:rsidP="0059241E">
            <w:pPr>
              <w:jc w:val="right"/>
            </w:pPr>
            <w:r w:rsidRPr="00FA560D">
              <w:t>117.6</w:t>
            </w:r>
          </w:p>
        </w:tc>
      </w:tr>
      <w:tr w:rsidR="00240DA0" w:rsidTr="002E57DB">
        <w:trPr>
          <w:trHeight w:val="315"/>
        </w:trPr>
        <w:tc>
          <w:tcPr>
            <w:tcW w:w="331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Default="00240DA0" w:rsidP="00357C34">
            <w:bookmarkStart w:id="26" w:name="OLE_LINK7"/>
            <w:bookmarkStart w:id="27" w:name="OLE_LINK10"/>
            <w:bookmarkEnd w:id="26"/>
            <w:bookmarkEnd w:id="27"/>
            <w:r>
              <w:rPr>
                <w:rFonts w:hint="eastAsia"/>
              </w:rPr>
              <w:t>每月工作收入中位數</w:t>
            </w:r>
            <w:r>
              <w:t>(</w:t>
            </w:r>
            <w:r>
              <w:rPr>
                <w:rFonts w:hint="eastAsia"/>
              </w:rPr>
              <w:t>澳門元</w:t>
            </w:r>
            <w:r>
              <w:t>)</w:t>
            </w:r>
          </w:p>
        </w:tc>
        <w:tc>
          <w:tcPr>
            <w:tcW w:w="1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Pr="00FA560D" w:rsidRDefault="00240DA0" w:rsidP="0059241E">
            <w:pPr>
              <w:jc w:val="right"/>
            </w:pPr>
            <w:r w:rsidRPr="00FA560D">
              <w:t>13,300</w:t>
            </w:r>
          </w:p>
        </w:tc>
        <w:tc>
          <w:tcPr>
            <w:tcW w:w="1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Pr="00FA560D" w:rsidRDefault="00240DA0" w:rsidP="0059241E">
            <w:pPr>
              <w:jc w:val="right"/>
            </w:pPr>
            <w:r w:rsidRPr="00FA560D">
              <w:t>15,000</w:t>
            </w: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Pr="00FA560D" w:rsidRDefault="00240DA0" w:rsidP="0059241E">
            <w:pPr>
              <w:jc w:val="right"/>
            </w:pPr>
            <w:r w:rsidRPr="00FA560D">
              <w:t>15,000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Pr="00FA560D" w:rsidRDefault="00240DA0" w:rsidP="0059241E">
            <w:pPr>
              <w:jc w:val="right"/>
            </w:pPr>
            <w:r w:rsidRPr="00FA560D">
              <w:t>15,000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Pr="00FA560D" w:rsidRDefault="00240DA0" w:rsidP="0059241E">
            <w:pPr>
              <w:jc w:val="right"/>
            </w:pPr>
            <w:r w:rsidRPr="00FA560D">
              <w:t>16,077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40DA0" w:rsidRPr="00FA560D" w:rsidRDefault="00240DA0" w:rsidP="0059241E">
            <w:pPr>
              <w:jc w:val="right"/>
            </w:pPr>
            <w:r w:rsidRPr="00FA560D">
              <w:t>16,638</w:t>
            </w:r>
          </w:p>
        </w:tc>
      </w:tr>
      <w:tr w:rsidR="00240DA0" w:rsidTr="002E57DB">
        <w:trPr>
          <w:trHeight w:val="315"/>
        </w:trPr>
        <w:tc>
          <w:tcPr>
            <w:tcW w:w="33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0DA0" w:rsidRDefault="00240DA0" w:rsidP="00357C34">
            <w:r>
              <w:rPr>
                <w:rFonts w:hint="eastAsia"/>
              </w:rPr>
              <w:t>就業人口</w:t>
            </w:r>
            <w:r>
              <w:t>(</w:t>
            </w:r>
            <w:r>
              <w:rPr>
                <w:rFonts w:ascii="新細明體" w:hAnsi="新細明體" w:cs="新細明體" w:hint="eastAsia"/>
              </w:rPr>
              <w:t>萬</w:t>
            </w:r>
            <w:r>
              <w:rPr>
                <w:rFonts w:hint="eastAsia"/>
              </w:rPr>
              <w:t>人</w:t>
            </w:r>
            <w:r>
              <w:t>)</w:t>
            </w:r>
          </w:p>
        </w:tc>
        <w:tc>
          <w:tcPr>
            <w:tcW w:w="115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0DA0" w:rsidRPr="00754846" w:rsidRDefault="00240DA0" w:rsidP="0059241E">
            <w:pPr>
              <w:jc w:val="right"/>
            </w:pPr>
            <w:r w:rsidRPr="00754846">
              <w:rPr>
                <w:rFonts w:hint="eastAsia"/>
              </w:rPr>
              <w:t>38.8</w:t>
            </w:r>
          </w:p>
        </w:tc>
        <w:tc>
          <w:tcPr>
            <w:tcW w:w="115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0DA0" w:rsidRPr="00754846" w:rsidRDefault="00240DA0" w:rsidP="0059241E">
            <w:pPr>
              <w:jc w:val="right"/>
            </w:pPr>
            <w:r w:rsidRPr="00754846">
              <w:rPr>
                <w:rFonts w:hint="eastAsia"/>
              </w:rPr>
              <w:t>39.7</w:t>
            </w:r>
          </w:p>
        </w:tc>
        <w:tc>
          <w:tcPr>
            <w:tcW w:w="104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0DA0" w:rsidRPr="00754846" w:rsidRDefault="00240DA0" w:rsidP="0059241E">
            <w:pPr>
              <w:jc w:val="right"/>
            </w:pPr>
            <w:r w:rsidRPr="00754846">
              <w:rPr>
                <w:rFonts w:hint="eastAsia"/>
              </w:rPr>
              <w:t>39.0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0DA0" w:rsidRPr="00754846" w:rsidRDefault="00240DA0" w:rsidP="0059241E">
            <w:pPr>
              <w:jc w:val="right"/>
            </w:pPr>
            <w:r w:rsidRPr="00754846">
              <w:rPr>
                <w:rFonts w:hint="eastAsia"/>
              </w:rPr>
              <w:t>38.0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0DA0" w:rsidRPr="00754846" w:rsidRDefault="00240DA0" w:rsidP="0059241E">
            <w:pPr>
              <w:jc w:val="right"/>
            </w:pPr>
            <w:r w:rsidRPr="00754846">
              <w:rPr>
                <w:rFonts w:hint="eastAsia"/>
              </w:rPr>
              <w:t>38.5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40DA0" w:rsidRPr="00754846" w:rsidRDefault="00240DA0" w:rsidP="0059241E">
            <w:pPr>
              <w:jc w:val="right"/>
            </w:pPr>
            <w:r w:rsidRPr="00754846">
              <w:rPr>
                <w:rFonts w:hint="eastAsia"/>
              </w:rPr>
              <w:t>39.2</w:t>
            </w:r>
          </w:p>
        </w:tc>
      </w:tr>
    </w:tbl>
    <w:p w:rsidR="00CB1799" w:rsidRDefault="00CB1799" w:rsidP="00CB1799"/>
    <w:p w:rsidR="00CB1799" w:rsidRDefault="00CB1799" w:rsidP="00CB1799"/>
    <w:tbl>
      <w:tblPr>
        <w:tblW w:w="9294" w:type="dxa"/>
        <w:tblInd w:w="-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5"/>
        <w:gridCol w:w="652"/>
        <w:gridCol w:w="1241"/>
        <w:gridCol w:w="1134"/>
        <w:gridCol w:w="992"/>
        <w:gridCol w:w="992"/>
        <w:gridCol w:w="959"/>
        <w:gridCol w:w="1309"/>
      </w:tblGrid>
      <w:tr w:rsidR="00CB1799" w:rsidTr="002E57DB">
        <w:trPr>
          <w:trHeight w:val="316"/>
        </w:trPr>
        <w:tc>
          <w:tcPr>
            <w:tcW w:w="929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B1799" w:rsidRDefault="00CB1799" w:rsidP="00D82369">
            <w:pPr>
              <w:jc w:val="center"/>
            </w:pPr>
            <w:r>
              <w:rPr>
                <w:rFonts w:ascii="新細明體" w:hAnsi="新細明體" w:cs="Arial" w:hint="eastAsia"/>
                <w:b/>
                <w:bCs/>
              </w:rPr>
              <w:t xml:space="preserve">表 </w:t>
            </w:r>
            <w:r>
              <w:rPr>
                <w:rFonts w:ascii="新細明體" w:hAnsi="新細明體" w:cs="新細明體" w:hint="eastAsia"/>
                <w:b/>
                <w:bCs/>
              </w:rPr>
              <w:t>(</w:t>
            </w:r>
            <w:r>
              <w:rPr>
                <w:rFonts w:ascii="新細明體" w:hAnsi="新細明體" w:cs="Arial" w:hint="eastAsia"/>
                <w:b/>
                <w:bCs/>
              </w:rPr>
              <w:t>續</w:t>
            </w:r>
            <w:r>
              <w:rPr>
                <w:rFonts w:ascii="新細明體" w:hAnsi="新細明體" w:cs="新細明體" w:hint="eastAsia"/>
                <w:b/>
                <w:bCs/>
              </w:rPr>
              <w:t xml:space="preserve">) : </w:t>
            </w:r>
            <w:r>
              <w:rPr>
                <w:rFonts w:ascii="新細明體" w:hAnsi="新細明體" w:cs="Arial" w:hint="eastAsia"/>
                <w:b/>
                <w:bCs/>
              </w:rPr>
              <w:t>主要經濟指標預測</w:t>
            </w:r>
          </w:p>
        </w:tc>
      </w:tr>
      <w:tr w:rsidR="00CF4016" w:rsidTr="002E57DB">
        <w:trPr>
          <w:trHeight w:val="302"/>
        </w:trPr>
        <w:tc>
          <w:tcPr>
            <w:tcW w:w="2667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CF4016" w:rsidRDefault="00CF4016" w:rsidP="00CF4016">
            <w:r>
              <w:rPr>
                <w:rFonts w:ascii="新細明體" w:hAnsi="新細明體" w:cs="Arial" w:hint="eastAsia"/>
                <w:b/>
                <w:bCs/>
              </w:rPr>
              <w:t>與去年同期比較變動率</w:t>
            </w:r>
          </w:p>
        </w:tc>
        <w:tc>
          <w:tcPr>
            <w:tcW w:w="124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CF4016" w:rsidRDefault="00CF4016" w:rsidP="00CF4016">
            <w:pPr>
              <w:jc w:val="center"/>
            </w:pPr>
            <w:r>
              <w:t>201</w:t>
            </w:r>
            <w:r>
              <w:rPr>
                <w:rFonts w:hint="eastAsia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CF4016" w:rsidRDefault="00CF4016" w:rsidP="00CF4016">
            <w:pPr>
              <w:jc w:val="center"/>
            </w:pPr>
            <w:r>
              <w:rPr>
                <w:rFonts w:hint="eastAsia"/>
              </w:rPr>
              <w:t>2015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CF4016" w:rsidRDefault="00CF4016" w:rsidP="00CF4016">
            <w:pPr>
              <w:jc w:val="center"/>
            </w:pPr>
            <w:r>
              <w:rPr>
                <w:rFonts w:hint="eastAsia"/>
              </w:rPr>
              <w:t>2016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CF4016" w:rsidRDefault="00CF4016" w:rsidP="00CF4016">
            <w:pPr>
              <w:jc w:val="center"/>
            </w:pPr>
            <w:r>
              <w:rPr>
                <w:rFonts w:hint="eastAsia"/>
              </w:rPr>
              <w:t>2017</w:t>
            </w:r>
          </w:p>
        </w:tc>
        <w:tc>
          <w:tcPr>
            <w:tcW w:w="95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CF4016" w:rsidRDefault="00CF4016" w:rsidP="00CF4016">
            <w:pPr>
              <w:jc w:val="center"/>
            </w:pPr>
            <w:r>
              <w:rPr>
                <w:rFonts w:hint="eastAsia"/>
              </w:rPr>
              <w:t>201</w:t>
            </w:r>
            <w:r>
              <w:t>8</w:t>
            </w:r>
          </w:p>
        </w:tc>
        <w:tc>
          <w:tcPr>
            <w:tcW w:w="1309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F4016" w:rsidRDefault="00CF4016" w:rsidP="00CF4016">
            <w:pPr>
              <w:jc w:val="center"/>
            </w:pPr>
            <w:r>
              <w:rPr>
                <w:rFonts w:hint="eastAsia"/>
              </w:rPr>
              <w:t>201</w:t>
            </w:r>
            <w:r>
              <w:t>9</w:t>
            </w:r>
          </w:p>
        </w:tc>
      </w:tr>
      <w:tr w:rsidR="00CF4016" w:rsidTr="002E57DB">
        <w:trPr>
          <w:trHeight w:val="302"/>
        </w:trPr>
        <w:tc>
          <w:tcPr>
            <w:tcW w:w="2667" w:type="dxa"/>
            <w:gridSpan w:val="2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F4016" w:rsidRDefault="00CF4016" w:rsidP="00CF4016">
            <w:pPr>
              <w:rPr>
                <w:rFonts w:ascii="新細明體" w:hAnsi="新細明體" w:cs="新細明體"/>
              </w:rPr>
            </w:pPr>
            <w:r>
              <w:rPr>
                <w:rFonts w:ascii="新細明體" w:hAnsi="新細明體" w:cs="新細明體" w:hint="eastAsia"/>
                <w:b/>
                <w:bCs/>
              </w:rPr>
              <w:t>(%)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F4016" w:rsidRDefault="00CF4016" w:rsidP="00CF4016">
            <w:pPr>
              <w:jc w:val="center"/>
              <w:rPr>
                <w:rFonts w:ascii="新細明體" w:hAnsi="新細明體" w:cs="新細明體"/>
              </w:rPr>
            </w:pPr>
            <w:r>
              <w:t>(</w:t>
            </w:r>
            <w:r>
              <w:rPr>
                <w:rFonts w:hint="eastAsia"/>
              </w:rPr>
              <w:t>實際值</w:t>
            </w:r>
            <w:r>
              <w:t>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F4016" w:rsidRDefault="00CF4016" w:rsidP="00CF4016">
            <w:pPr>
              <w:jc w:val="center"/>
              <w:rPr>
                <w:rFonts w:ascii="新細明體" w:hAnsi="新細明體" w:cs="新細明體"/>
              </w:rPr>
            </w:pPr>
            <w:r>
              <w:t>(</w:t>
            </w:r>
            <w:r>
              <w:rPr>
                <w:rFonts w:hint="eastAsia"/>
              </w:rPr>
              <w:t>實際值</w:t>
            </w:r>
            <w:r>
              <w:t>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F4016" w:rsidRDefault="00CF4016" w:rsidP="00CF4016">
            <w:pPr>
              <w:jc w:val="center"/>
              <w:rPr>
                <w:rFonts w:ascii="新細明體" w:hAnsi="新細明體" w:cs="新細明體"/>
              </w:rPr>
            </w:pPr>
            <w:r>
              <w:t>(</w:t>
            </w:r>
            <w:r>
              <w:rPr>
                <w:rFonts w:hint="eastAsia"/>
              </w:rPr>
              <w:t>實際值</w:t>
            </w:r>
            <w:r>
              <w:t>)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CF4016" w:rsidRDefault="00CF4016" w:rsidP="00CF4016">
            <w:pPr>
              <w:jc w:val="center"/>
            </w:pPr>
            <w:r>
              <w:t>(</w:t>
            </w:r>
            <w:r>
              <w:rPr>
                <w:rFonts w:hint="eastAsia"/>
              </w:rPr>
              <w:t>實際值</w:t>
            </w:r>
            <w:r>
              <w:t>)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F4016" w:rsidRDefault="00CF4016" w:rsidP="00CF4016">
            <w:pPr>
              <w:jc w:val="center"/>
              <w:rPr>
                <w:rFonts w:ascii="新細明體" w:hAnsi="新細明體" w:cs="新細明體"/>
              </w:rPr>
            </w:pPr>
            <w:r>
              <w:t>(</w:t>
            </w:r>
            <w:r>
              <w:rPr>
                <w:rFonts w:hint="eastAsia"/>
              </w:rPr>
              <w:t>預測值</w:t>
            </w:r>
            <w:r>
              <w:t>)</w:t>
            </w:r>
          </w:p>
        </w:tc>
        <w:tc>
          <w:tcPr>
            <w:tcW w:w="1309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F4016" w:rsidRDefault="00CF4016" w:rsidP="00CF4016">
            <w:pPr>
              <w:jc w:val="center"/>
            </w:pPr>
            <w:r>
              <w:t>(</w:t>
            </w:r>
            <w:r>
              <w:rPr>
                <w:rFonts w:hint="eastAsia"/>
              </w:rPr>
              <w:t>預測值</w:t>
            </w:r>
            <w:r>
              <w:t>)</w:t>
            </w:r>
          </w:p>
        </w:tc>
      </w:tr>
      <w:tr w:rsidR="00240DA0" w:rsidTr="002E57DB">
        <w:trPr>
          <w:trHeight w:val="302"/>
        </w:trPr>
        <w:tc>
          <w:tcPr>
            <w:tcW w:w="2015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40DA0" w:rsidRDefault="00240DA0" w:rsidP="005A2945">
            <w:pPr>
              <w:rPr>
                <w:rFonts w:ascii="新細明體" w:hAnsi="新細明體" w:cs="Arial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40DA0" w:rsidRDefault="00240DA0" w:rsidP="005A2945">
            <w:r>
              <w:rPr>
                <w:rFonts w:ascii="新細明體" w:hAnsi="新細明體" w:cs="Arial" w:hint="eastAsia"/>
              </w:rPr>
              <w:t>最低</w:t>
            </w:r>
          </w:p>
        </w:tc>
        <w:tc>
          <w:tcPr>
            <w:tcW w:w="124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rPr>
                <w:rFonts w:hint="eastAsia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rPr>
                <w:rFonts w:hint="eastAsia"/>
              </w:rPr>
              <w:t> </w:t>
            </w:r>
          </w:p>
        </w:tc>
        <w:tc>
          <w:tcPr>
            <w:tcW w:w="95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t>5.1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t>-2.4</w:t>
            </w:r>
          </w:p>
        </w:tc>
      </w:tr>
      <w:tr w:rsidR="00240DA0" w:rsidTr="002E57DB">
        <w:trPr>
          <w:trHeight w:val="302"/>
        </w:trPr>
        <w:tc>
          <w:tcPr>
            <w:tcW w:w="2015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40DA0" w:rsidRDefault="00240DA0" w:rsidP="005A2945">
            <w:pPr>
              <w:rPr>
                <w:rFonts w:ascii="新細明體" w:hAnsi="新細明體" w:cs="Arial"/>
              </w:rPr>
            </w:pPr>
            <w:r>
              <w:rPr>
                <w:rFonts w:ascii="新細明體" w:hAnsi="新細明體" w:cs="Arial" w:hint="eastAsia"/>
              </w:rPr>
              <w:t>本地生產總值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Default="00240DA0" w:rsidP="005A2945">
            <w:r>
              <w:rPr>
                <w:rFonts w:ascii="新細明體" w:hAnsi="新細明體" w:cs="Arial" w:hint="eastAsia"/>
              </w:rPr>
              <w:t>基線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t>-1.2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t>-21.6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t>-0.9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t>9.1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t>8.3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t>7.1</w:t>
            </w:r>
          </w:p>
        </w:tc>
      </w:tr>
      <w:tr w:rsidR="00240DA0" w:rsidTr="002E57DB">
        <w:trPr>
          <w:trHeight w:val="302"/>
        </w:trPr>
        <w:tc>
          <w:tcPr>
            <w:tcW w:w="20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Default="00240DA0" w:rsidP="005A2945">
            <w:pPr>
              <w:rPr>
                <w:rFonts w:ascii="新細明體" w:hAnsi="新細明體" w:cs="Arial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40DA0" w:rsidRDefault="00240DA0" w:rsidP="005A2945">
            <w:r>
              <w:rPr>
                <w:rFonts w:ascii="新細明體" w:hAnsi="新細明體" w:cs="Arial" w:hint="eastAsia"/>
              </w:rPr>
              <w:t>最高</w:t>
            </w:r>
          </w:p>
        </w:tc>
        <w:tc>
          <w:tcPr>
            <w:tcW w:w="124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rPr>
                <w:rFonts w:hint="eastAsia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rPr>
                <w:rFonts w:hint="eastAsia"/>
              </w:rPr>
              <w:t> </w:t>
            </w:r>
          </w:p>
        </w:tc>
        <w:tc>
          <w:tcPr>
            <w:tcW w:w="95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t>11.6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t>16.6</w:t>
            </w:r>
          </w:p>
        </w:tc>
      </w:tr>
      <w:tr w:rsidR="00240DA0" w:rsidTr="002E57DB">
        <w:trPr>
          <w:trHeight w:val="302"/>
        </w:trPr>
        <w:tc>
          <w:tcPr>
            <w:tcW w:w="2015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40DA0" w:rsidRDefault="00240DA0" w:rsidP="005A2945">
            <w:pPr>
              <w:rPr>
                <w:rFonts w:ascii="新細明體" w:hAnsi="新細明體" w:cs="Arial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40DA0" w:rsidRDefault="00240DA0" w:rsidP="005A2945">
            <w:r>
              <w:rPr>
                <w:rFonts w:ascii="新細明體" w:hAnsi="新細明體" w:cs="Arial" w:hint="eastAsia"/>
              </w:rPr>
              <w:t>最低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rPr>
                <w:rFonts w:hint="eastAsia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rPr>
                <w:rFonts w:hint="eastAsia"/>
              </w:rPr>
              <w:t> 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t>3.5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t>1.0</w:t>
            </w:r>
          </w:p>
        </w:tc>
      </w:tr>
      <w:tr w:rsidR="00240DA0" w:rsidTr="002E57DB">
        <w:trPr>
          <w:trHeight w:val="302"/>
        </w:trPr>
        <w:tc>
          <w:tcPr>
            <w:tcW w:w="2015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40DA0" w:rsidRDefault="00240DA0" w:rsidP="005A2945">
            <w:pPr>
              <w:rPr>
                <w:rFonts w:ascii="新細明體" w:hAnsi="新細明體" w:cs="Arial"/>
              </w:rPr>
            </w:pPr>
            <w:r>
              <w:rPr>
                <w:rFonts w:ascii="新細明體" w:hAnsi="新細明體" w:cs="Arial" w:hint="eastAsia"/>
              </w:rPr>
              <w:t>私人消費支出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Default="00240DA0" w:rsidP="005A2945">
            <w:r>
              <w:rPr>
                <w:rFonts w:ascii="新細明體" w:hAnsi="新細明體" w:cs="Arial" w:hint="eastAsia"/>
              </w:rPr>
              <w:t>基線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t>5.9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t>2.1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t>-1.1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t>1.6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t>5.0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t>5.0</w:t>
            </w:r>
          </w:p>
        </w:tc>
      </w:tr>
      <w:tr w:rsidR="00240DA0" w:rsidTr="002E57DB">
        <w:trPr>
          <w:trHeight w:val="302"/>
        </w:trPr>
        <w:tc>
          <w:tcPr>
            <w:tcW w:w="20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Default="00240DA0" w:rsidP="005A2945">
            <w:pPr>
              <w:rPr>
                <w:rFonts w:ascii="新細明體" w:hAnsi="新細明體" w:cs="Arial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40DA0" w:rsidRDefault="00240DA0" w:rsidP="005A2945">
            <w:r>
              <w:rPr>
                <w:rFonts w:ascii="新細明體" w:hAnsi="新細明體" w:cs="Arial" w:hint="eastAsia"/>
              </w:rPr>
              <w:t>最高</w:t>
            </w:r>
          </w:p>
        </w:tc>
        <w:tc>
          <w:tcPr>
            <w:tcW w:w="124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rPr>
                <w:rFonts w:hint="eastAsia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rPr>
                <w:rFonts w:hint="eastAsia"/>
              </w:rPr>
              <w:t> </w:t>
            </w:r>
          </w:p>
        </w:tc>
        <w:tc>
          <w:tcPr>
            <w:tcW w:w="95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t>6.5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t>9.1</w:t>
            </w:r>
          </w:p>
        </w:tc>
      </w:tr>
      <w:tr w:rsidR="00240DA0" w:rsidTr="002E57DB">
        <w:trPr>
          <w:trHeight w:val="302"/>
        </w:trPr>
        <w:tc>
          <w:tcPr>
            <w:tcW w:w="2015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40DA0" w:rsidRDefault="00240DA0" w:rsidP="005A2945">
            <w:pPr>
              <w:rPr>
                <w:rFonts w:ascii="新細明體" w:hAnsi="新細明體" w:cs="Arial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40DA0" w:rsidRDefault="00240DA0" w:rsidP="005A2945">
            <w:r>
              <w:rPr>
                <w:rFonts w:ascii="新細明體" w:hAnsi="新細明體" w:cs="Arial" w:hint="eastAsia"/>
              </w:rPr>
              <w:t>最低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rPr>
                <w:rFonts w:hint="eastAsia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rPr>
                <w:rFonts w:hint="eastAsia"/>
              </w:rPr>
              <w:t> 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t>-12.6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t>-19.0</w:t>
            </w:r>
          </w:p>
        </w:tc>
      </w:tr>
      <w:tr w:rsidR="00240DA0" w:rsidTr="002E57DB">
        <w:trPr>
          <w:trHeight w:val="302"/>
        </w:trPr>
        <w:tc>
          <w:tcPr>
            <w:tcW w:w="2015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40DA0" w:rsidRDefault="00240DA0" w:rsidP="005A2945">
            <w:pPr>
              <w:rPr>
                <w:rFonts w:ascii="新細明體" w:hAnsi="新細明體" w:cs="Arial"/>
              </w:rPr>
            </w:pPr>
            <w:r>
              <w:rPr>
                <w:rFonts w:ascii="新細明體" w:hAnsi="新細明體" w:cs="Arial" w:hint="eastAsia"/>
              </w:rPr>
              <w:t>固定資本形成總額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Default="00240DA0" w:rsidP="005A2945">
            <w:r>
              <w:rPr>
                <w:rFonts w:ascii="新細明體" w:hAnsi="新細明體" w:cs="Arial" w:hint="eastAsia"/>
              </w:rPr>
              <w:t>基線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t>37.1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t>5.4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t>-11.8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t>-10.0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t>-5.7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t>4.4</w:t>
            </w:r>
          </w:p>
        </w:tc>
      </w:tr>
      <w:tr w:rsidR="00240DA0" w:rsidTr="002E57DB">
        <w:trPr>
          <w:trHeight w:val="302"/>
        </w:trPr>
        <w:tc>
          <w:tcPr>
            <w:tcW w:w="20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Default="00240DA0" w:rsidP="005A2945">
            <w:pPr>
              <w:rPr>
                <w:rFonts w:ascii="新細明體" w:hAnsi="新細明體" w:cs="Arial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40DA0" w:rsidRDefault="00240DA0" w:rsidP="005A2945">
            <w:r>
              <w:rPr>
                <w:rFonts w:ascii="新細明體" w:hAnsi="新細明體" w:cs="Arial" w:hint="eastAsia"/>
              </w:rPr>
              <w:t>最高</w:t>
            </w:r>
          </w:p>
        </w:tc>
        <w:tc>
          <w:tcPr>
            <w:tcW w:w="124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rPr>
                <w:rFonts w:hint="eastAsia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rPr>
                <w:rFonts w:hint="eastAsia"/>
              </w:rPr>
              <w:t> </w:t>
            </w:r>
          </w:p>
        </w:tc>
        <w:tc>
          <w:tcPr>
            <w:tcW w:w="95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t>1.2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t>27.9</w:t>
            </w:r>
          </w:p>
        </w:tc>
      </w:tr>
      <w:tr w:rsidR="00240DA0" w:rsidTr="002E57DB">
        <w:trPr>
          <w:trHeight w:val="302"/>
        </w:trPr>
        <w:tc>
          <w:tcPr>
            <w:tcW w:w="2015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40DA0" w:rsidRDefault="00240DA0" w:rsidP="005A2945">
            <w:pPr>
              <w:rPr>
                <w:rFonts w:ascii="新細明體" w:hAnsi="新細明體" w:cs="Arial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40DA0" w:rsidRDefault="00240DA0" w:rsidP="005A2945">
            <w:r>
              <w:rPr>
                <w:rFonts w:ascii="新細明體" w:hAnsi="新細明體" w:cs="Arial" w:hint="eastAsia"/>
              </w:rPr>
              <w:t>最低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rPr>
                <w:rFonts w:hint="eastAsia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rPr>
                <w:rFonts w:hint="eastAsia"/>
              </w:rPr>
              <w:t> 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t>10.0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t>-9.6</w:t>
            </w:r>
          </w:p>
        </w:tc>
      </w:tr>
      <w:tr w:rsidR="00240DA0" w:rsidTr="002E57DB">
        <w:trPr>
          <w:trHeight w:val="302"/>
        </w:trPr>
        <w:tc>
          <w:tcPr>
            <w:tcW w:w="2015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40DA0" w:rsidRDefault="00240DA0" w:rsidP="005A2945">
            <w:pPr>
              <w:rPr>
                <w:rFonts w:ascii="新細明體" w:hAnsi="新細明體" w:cs="Arial"/>
              </w:rPr>
            </w:pPr>
            <w:r>
              <w:rPr>
                <w:rFonts w:ascii="新細明體" w:hAnsi="新細明體" w:cs="Arial" w:hint="eastAsia"/>
              </w:rPr>
              <w:t>貨物出口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Default="00240DA0" w:rsidP="005A2945">
            <w:r>
              <w:rPr>
                <w:rFonts w:ascii="新細明體" w:hAnsi="新細明體" w:cs="Arial" w:hint="eastAsia"/>
              </w:rPr>
              <w:t>基線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t>20.6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t>10.2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t>-20.5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t>12.3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t>18.1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t>5.7</w:t>
            </w:r>
          </w:p>
        </w:tc>
      </w:tr>
      <w:tr w:rsidR="00240DA0" w:rsidTr="002E57DB">
        <w:trPr>
          <w:trHeight w:val="302"/>
        </w:trPr>
        <w:tc>
          <w:tcPr>
            <w:tcW w:w="20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Default="00240DA0" w:rsidP="005A2945">
            <w:pPr>
              <w:rPr>
                <w:rFonts w:ascii="新細明體" w:hAnsi="新細明體" w:cs="Arial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40DA0" w:rsidRDefault="00240DA0" w:rsidP="005A2945">
            <w:r>
              <w:rPr>
                <w:rFonts w:ascii="新細明體" w:hAnsi="新細明體" w:cs="Arial" w:hint="eastAsia"/>
              </w:rPr>
              <w:t>最高</w:t>
            </w:r>
          </w:p>
        </w:tc>
        <w:tc>
          <w:tcPr>
            <w:tcW w:w="124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rPr>
                <w:rFonts w:hint="eastAsia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rPr>
                <w:rFonts w:hint="eastAsia"/>
              </w:rPr>
              <w:t> </w:t>
            </w:r>
          </w:p>
        </w:tc>
        <w:tc>
          <w:tcPr>
            <w:tcW w:w="95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t>26.2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t>21.0</w:t>
            </w:r>
          </w:p>
        </w:tc>
      </w:tr>
      <w:tr w:rsidR="00240DA0" w:rsidTr="002E57DB">
        <w:trPr>
          <w:trHeight w:val="302"/>
        </w:trPr>
        <w:tc>
          <w:tcPr>
            <w:tcW w:w="2015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40DA0" w:rsidRDefault="00240DA0" w:rsidP="005A2945">
            <w:pPr>
              <w:rPr>
                <w:rFonts w:ascii="新細明體" w:hAnsi="新細明體" w:cs="Arial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40DA0" w:rsidRDefault="00240DA0" w:rsidP="005A2945">
            <w:r>
              <w:rPr>
                <w:rFonts w:ascii="新細明體" w:hAnsi="新細明體" w:cs="Arial" w:hint="eastAsia"/>
              </w:rPr>
              <w:t>最低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rPr>
                <w:rFonts w:hint="eastAsia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rPr>
                <w:rFonts w:hint="eastAsia"/>
              </w:rPr>
              <w:t> 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t>9.2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t>-3.2</w:t>
            </w:r>
          </w:p>
        </w:tc>
      </w:tr>
      <w:tr w:rsidR="00240DA0" w:rsidTr="002E57DB">
        <w:trPr>
          <w:trHeight w:val="302"/>
        </w:trPr>
        <w:tc>
          <w:tcPr>
            <w:tcW w:w="2015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40DA0" w:rsidRDefault="00240DA0" w:rsidP="005A2945">
            <w:pPr>
              <w:rPr>
                <w:rFonts w:ascii="新細明體" w:hAnsi="新細明體" w:cs="Arial"/>
              </w:rPr>
            </w:pPr>
            <w:r>
              <w:rPr>
                <w:rFonts w:ascii="新細明體" w:hAnsi="新細明體" w:cs="Arial" w:hint="eastAsia"/>
              </w:rPr>
              <w:t>服務出口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Default="00240DA0" w:rsidP="005A2945">
            <w:r>
              <w:rPr>
                <w:rFonts w:ascii="新細明體" w:hAnsi="新細明體" w:cs="Arial" w:hint="eastAsia"/>
              </w:rPr>
              <w:t>基線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t>-5.3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t>-28.1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t>-1.0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t>15.4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t>13.6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t>8.7</w:t>
            </w:r>
          </w:p>
        </w:tc>
      </w:tr>
      <w:tr w:rsidR="00240DA0" w:rsidTr="002E57DB">
        <w:trPr>
          <w:trHeight w:val="302"/>
        </w:trPr>
        <w:tc>
          <w:tcPr>
            <w:tcW w:w="20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Default="00240DA0" w:rsidP="005A2945">
            <w:pPr>
              <w:rPr>
                <w:rFonts w:ascii="新細明體" w:hAnsi="新細明體" w:cs="Arial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40DA0" w:rsidRDefault="00240DA0" w:rsidP="005A2945">
            <w:r>
              <w:rPr>
                <w:rFonts w:ascii="新細明體" w:hAnsi="新細明體" w:cs="Arial" w:hint="eastAsia"/>
              </w:rPr>
              <w:t>最高</w:t>
            </w:r>
          </w:p>
        </w:tc>
        <w:tc>
          <w:tcPr>
            <w:tcW w:w="124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rPr>
                <w:rFonts w:hint="eastAsia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rPr>
                <w:rFonts w:hint="eastAsia"/>
              </w:rPr>
              <w:t> </w:t>
            </w:r>
          </w:p>
        </w:tc>
        <w:tc>
          <w:tcPr>
            <w:tcW w:w="95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t>18.0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t>20.6</w:t>
            </w:r>
          </w:p>
        </w:tc>
      </w:tr>
      <w:tr w:rsidR="00240DA0" w:rsidTr="002E57DB">
        <w:trPr>
          <w:trHeight w:val="302"/>
        </w:trPr>
        <w:tc>
          <w:tcPr>
            <w:tcW w:w="2015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40DA0" w:rsidRDefault="00240DA0" w:rsidP="005A2945">
            <w:pPr>
              <w:rPr>
                <w:rFonts w:ascii="新細明體" w:hAnsi="新細明體" w:cs="Arial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40DA0" w:rsidRDefault="00240DA0" w:rsidP="005A2945">
            <w:r>
              <w:rPr>
                <w:rFonts w:ascii="新細明體" w:hAnsi="新細明體" w:cs="Arial" w:hint="eastAsia"/>
              </w:rPr>
              <w:t>最低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rPr>
                <w:rFonts w:hint="eastAsia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rPr>
                <w:rFonts w:hint="eastAsia"/>
              </w:rPr>
              <w:t> 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t>3.8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t>-3.2</w:t>
            </w:r>
          </w:p>
        </w:tc>
      </w:tr>
      <w:tr w:rsidR="00240DA0" w:rsidTr="002E57DB">
        <w:trPr>
          <w:trHeight w:val="302"/>
        </w:trPr>
        <w:tc>
          <w:tcPr>
            <w:tcW w:w="2015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40DA0" w:rsidRDefault="00240DA0" w:rsidP="005A2945">
            <w:pPr>
              <w:rPr>
                <w:rFonts w:ascii="新細明體" w:hAnsi="新細明體" w:cs="Arial"/>
              </w:rPr>
            </w:pPr>
            <w:r>
              <w:rPr>
                <w:rFonts w:ascii="新細明體" w:hAnsi="新細明體" w:cs="Arial" w:hint="eastAsia"/>
              </w:rPr>
              <w:t>貨物進口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Default="00240DA0" w:rsidP="005A2945">
            <w:r>
              <w:rPr>
                <w:rFonts w:ascii="新細明體" w:hAnsi="新細明體" w:cs="Arial" w:hint="eastAsia"/>
              </w:rPr>
              <w:t>基線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t>14.3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t>1.0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t>-13.5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t>0.4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t>7.5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t>7.5</w:t>
            </w:r>
          </w:p>
        </w:tc>
      </w:tr>
      <w:tr w:rsidR="00240DA0" w:rsidTr="002E57DB">
        <w:trPr>
          <w:trHeight w:val="302"/>
        </w:trPr>
        <w:tc>
          <w:tcPr>
            <w:tcW w:w="20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Default="00240DA0" w:rsidP="005A2945">
            <w:pPr>
              <w:rPr>
                <w:rFonts w:ascii="新細明體" w:hAnsi="新細明體" w:cs="Arial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40DA0" w:rsidRDefault="00240DA0" w:rsidP="005A2945">
            <w:r>
              <w:rPr>
                <w:rFonts w:ascii="新細明體" w:hAnsi="新細明體" w:cs="Arial" w:hint="eastAsia"/>
              </w:rPr>
              <w:t>最高</w:t>
            </w:r>
          </w:p>
        </w:tc>
        <w:tc>
          <w:tcPr>
            <w:tcW w:w="124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rPr>
                <w:rFonts w:hint="eastAsia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rPr>
                <w:rFonts w:hint="eastAsia"/>
              </w:rPr>
              <w:t> 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t>11.2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t>18.1</w:t>
            </w:r>
          </w:p>
        </w:tc>
      </w:tr>
      <w:tr w:rsidR="00240DA0" w:rsidTr="002E57DB">
        <w:trPr>
          <w:trHeight w:val="302"/>
        </w:trPr>
        <w:tc>
          <w:tcPr>
            <w:tcW w:w="2015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40DA0" w:rsidRDefault="00240DA0" w:rsidP="005A2945">
            <w:pPr>
              <w:rPr>
                <w:rFonts w:ascii="新細明體" w:hAnsi="新細明體" w:cs="Arial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40DA0" w:rsidRDefault="00240DA0" w:rsidP="005A2945">
            <w:r>
              <w:rPr>
                <w:rFonts w:ascii="新細明體" w:hAnsi="新細明體" w:cs="Arial" w:hint="eastAsia"/>
              </w:rPr>
              <w:t>最低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rPr>
                <w:rFonts w:hint="eastAsia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rPr>
                <w:rFonts w:hint="eastAsia"/>
              </w:rPr>
              <w:t> </w:t>
            </w:r>
          </w:p>
        </w:tc>
        <w:tc>
          <w:tcPr>
            <w:tcW w:w="95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t>12.4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t>-2.1</w:t>
            </w:r>
          </w:p>
        </w:tc>
      </w:tr>
      <w:tr w:rsidR="00240DA0" w:rsidTr="002E57DB">
        <w:trPr>
          <w:trHeight w:val="302"/>
        </w:trPr>
        <w:tc>
          <w:tcPr>
            <w:tcW w:w="2015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40DA0" w:rsidRDefault="00240DA0" w:rsidP="005A2945">
            <w:pPr>
              <w:rPr>
                <w:rFonts w:ascii="新細明體" w:hAnsi="新細明體" w:cs="Arial"/>
              </w:rPr>
            </w:pPr>
            <w:r>
              <w:rPr>
                <w:rFonts w:ascii="新細明體" w:hAnsi="新細明體" w:cs="Arial" w:hint="eastAsia"/>
              </w:rPr>
              <w:t>服務進口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Default="00240DA0" w:rsidP="005A2945">
            <w:r>
              <w:rPr>
                <w:rFonts w:ascii="新細明體" w:hAnsi="新細明體" w:cs="Arial" w:hint="eastAsia"/>
              </w:rPr>
              <w:t>基線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t>6.7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t>1.6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t>-0.4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t>9.6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t>17.4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t>9.5</w:t>
            </w:r>
          </w:p>
        </w:tc>
      </w:tr>
      <w:tr w:rsidR="00240DA0" w:rsidTr="002E57DB">
        <w:trPr>
          <w:trHeight w:val="302"/>
        </w:trPr>
        <w:tc>
          <w:tcPr>
            <w:tcW w:w="20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Default="00240DA0" w:rsidP="005A2945">
            <w:pPr>
              <w:rPr>
                <w:rFonts w:ascii="新細明體" w:hAnsi="新細明體" w:cs="Arial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40DA0" w:rsidRDefault="00240DA0" w:rsidP="005A2945">
            <w:r>
              <w:rPr>
                <w:rFonts w:ascii="新細明體" w:hAnsi="新細明體" w:cs="Arial" w:hint="eastAsia"/>
              </w:rPr>
              <w:t>最高</w:t>
            </w:r>
          </w:p>
        </w:tc>
        <w:tc>
          <w:tcPr>
            <w:tcW w:w="124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rPr>
                <w:rFonts w:hint="eastAsia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rPr>
                <w:rFonts w:hint="eastAsia"/>
              </w:rPr>
              <w:t> 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t>22.4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t>21.2</w:t>
            </w:r>
          </w:p>
        </w:tc>
      </w:tr>
      <w:tr w:rsidR="00240DA0" w:rsidTr="002E57DB">
        <w:trPr>
          <w:trHeight w:val="302"/>
        </w:trPr>
        <w:tc>
          <w:tcPr>
            <w:tcW w:w="2015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40DA0" w:rsidRDefault="00240DA0" w:rsidP="005A2945">
            <w:pPr>
              <w:rPr>
                <w:rFonts w:ascii="新細明體" w:hAnsi="新細明體" w:cs="Arial"/>
              </w:rPr>
            </w:pPr>
            <w:r>
              <w:rPr>
                <w:rFonts w:ascii="新細明體" w:hAnsi="新細明體" w:cs="Arial" w:hint="eastAsia"/>
              </w:rPr>
              <w:t>本地生產總值之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40DA0" w:rsidRDefault="00240DA0" w:rsidP="005A2945">
            <w:r>
              <w:rPr>
                <w:rFonts w:ascii="新細明體" w:hAnsi="新細明體" w:cs="Arial" w:hint="eastAsia"/>
              </w:rPr>
              <w:t>最低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rPr>
                <w:rFonts w:hint="eastAsia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rPr>
                <w:rFonts w:hint="eastAsia"/>
              </w:rPr>
              <w:t> </w:t>
            </w:r>
          </w:p>
        </w:tc>
        <w:tc>
          <w:tcPr>
            <w:tcW w:w="95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t>2.4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t>1.0</w:t>
            </w:r>
          </w:p>
        </w:tc>
      </w:tr>
      <w:tr w:rsidR="00240DA0" w:rsidTr="002E57DB">
        <w:trPr>
          <w:trHeight w:val="302"/>
        </w:trPr>
        <w:tc>
          <w:tcPr>
            <w:tcW w:w="2015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40DA0" w:rsidRDefault="00240DA0" w:rsidP="005A2945">
            <w:pPr>
              <w:rPr>
                <w:rFonts w:ascii="新細明體" w:hAnsi="新細明體" w:cs="Arial"/>
              </w:rPr>
            </w:pPr>
            <w:r>
              <w:rPr>
                <w:rFonts w:ascii="新細明體" w:hAnsi="新細明體" w:cs="Arial" w:hint="eastAsia"/>
              </w:rPr>
              <w:t>平減物價指數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Default="00240DA0" w:rsidP="005A2945">
            <w:r>
              <w:rPr>
                <w:rFonts w:ascii="新細明體" w:hAnsi="新細明體" w:cs="Arial" w:hint="eastAsia"/>
              </w:rPr>
              <w:t>基線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t>8.9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t>4.4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t>0.8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t>2.3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t>3.4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t>4.1</w:t>
            </w:r>
          </w:p>
        </w:tc>
      </w:tr>
      <w:tr w:rsidR="00240DA0" w:rsidTr="002E57DB">
        <w:trPr>
          <w:trHeight w:val="302"/>
        </w:trPr>
        <w:tc>
          <w:tcPr>
            <w:tcW w:w="20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Default="00240DA0" w:rsidP="005A2945">
            <w:pPr>
              <w:rPr>
                <w:rFonts w:ascii="新細明體" w:hAnsi="新細明體" w:cs="Arial"/>
              </w:rPr>
            </w:pPr>
            <w:r>
              <w:rPr>
                <w:rFonts w:ascii="新細明體" w:hAnsi="新細明體" w:cs="Arial" w:hint="eastAsia"/>
              </w:rPr>
              <w:t>增長率</w:t>
            </w: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40DA0" w:rsidRDefault="00240DA0" w:rsidP="005A2945">
            <w:r>
              <w:rPr>
                <w:rFonts w:ascii="新細明體" w:hAnsi="新細明體" w:cs="Arial" w:hint="eastAsia"/>
              </w:rPr>
              <w:t>最高</w:t>
            </w:r>
          </w:p>
        </w:tc>
        <w:tc>
          <w:tcPr>
            <w:tcW w:w="124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rPr>
                <w:rFonts w:hint="eastAsia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rPr>
                <w:rFonts w:hint="eastAsia"/>
              </w:rPr>
              <w:t> 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t>4.3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t>7.2</w:t>
            </w:r>
          </w:p>
        </w:tc>
      </w:tr>
      <w:tr w:rsidR="00240DA0" w:rsidTr="002E57DB">
        <w:trPr>
          <w:trHeight w:val="302"/>
        </w:trPr>
        <w:tc>
          <w:tcPr>
            <w:tcW w:w="2015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40DA0" w:rsidRDefault="00240DA0" w:rsidP="005A2945">
            <w:pPr>
              <w:rPr>
                <w:rFonts w:ascii="新細明體" w:hAnsi="新細明體" w:cs="Arial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40DA0" w:rsidRDefault="00240DA0" w:rsidP="005A2945">
            <w:r>
              <w:rPr>
                <w:rFonts w:ascii="新細明體" w:hAnsi="新細明體" w:cs="Arial" w:hint="eastAsia"/>
              </w:rPr>
              <w:t>最低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rPr>
                <w:rFonts w:hint="eastAsia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rPr>
                <w:rFonts w:hint="eastAsia"/>
              </w:rPr>
              <w:t> </w:t>
            </w:r>
          </w:p>
        </w:tc>
        <w:tc>
          <w:tcPr>
            <w:tcW w:w="95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t>2.9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t>2.1</w:t>
            </w:r>
          </w:p>
        </w:tc>
      </w:tr>
      <w:tr w:rsidR="00240DA0" w:rsidTr="002E57DB">
        <w:trPr>
          <w:trHeight w:val="302"/>
        </w:trPr>
        <w:tc>
          <w:tcPr>
            <w:tcW w:w="2015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40DA0" w:rsidRDefault="00240DA0" w:rsidP="005A2945">
            <w:pPr>
              <w:rPr>
                <w:rFonts w:ascii="新細明體" w:hAnsi="新細明體" w:cs="Arial"/>
              </w:rPr>
            </w:pPr>
            <w:r>
              <w:rPr>
                <w:rFonts w:ascii="新細明體" w:hAnsi="新細明體" w:cs="Arial" w:hint="eastAsia"/>
              </w:rPr>
              <w:t>消費者物價指數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Default="00240DA0" w:rsidP="005A2945">
            <w:r>
              <w:rPr>
                <w:rFonts w:ascii="新細明體" w:hAnsi="新細明體" w:cs="Arial" w:hint="eastAsia"/>
              </w:rPr>
              <w:t>基線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t>6.1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t>4.5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t>2.4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t>1.2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t>3.3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t>3.9</w:t>
            </w:r>
          </w:p>
        </w:tc>
      </w:tr>
      <w:tr w:rsidR="00240DA0" w:rsidTr="002E57DB">
        <w:trPr>
          <w:trHeight w:val="302"/>
        </w:trPr>
        <w:tc>
          <w:tcPr>
            <w:tcW w:w="20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Default="00240DA0" w:rsidP="005A2945">
            <w:pPr>
              <w:rPr>
                <w:rFonts w:ascii="新細明體" w:hAnsi="新細明體" w:cs="Arial"/>
              </w:rPr>
            </w:pPr>
            <w:r>
              <w:rPr>
                <w:rFonts w:ascii="新細明體" w:hAnsi="新細明體" w:cs="新細明體" w:hint="eastAsia"/>
              </w:rPr>
              <w:t>(</w:t>
            </w:r>
            <w:r>
              <w:rPr>
                <w:rFonts w:ascii="新細明體" w:hAnsi="新細明體" w:cs="Arial" w:hint="eastAsia"/>
              </w:rPr>
              <w:t>綜合</w:t>
            </w:r>
            <w:r>
              <w:rPr>
                <w:rFonts w:ascii="新細明體" w:hAnsi="新細明體" w:cs="新細明體" w:hint="eastAsia"/>
              </w:rPr>
              <w:t xml:space="preserve">) </w:t>
            </w:r>
            <w:r>
              <w:rPr>
                <w:rFonts w:ascii="新細明體" w:hAnsi="新細明體" w:cs="Arial" w:hint="eastAsia"/>
              </w:rPr>
              <w:t>通脹率</w:t>
            </w: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40DA0" w:rsidRDefault="00240DA0" w:rsidP="005A2945">
            <w:r>
              <w:rPr>
                <w:rFonts w:ascii="新細明體" w:hAnsi="新細明體" w:cs="Arial" w:hint="eastAsia"/>
              </w:rPr>
              <w:t>最高</w:t>
            </w:r>
          </w:p>
        </w:tc>
        <w:tc>
          <w:tcPr>
            <w:tcW w:w="124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rPr>
                <w:rFonts w:hint="eastAsia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rPr>
                <w:rFonts w:hint="eastAsia"/>
              </w:rPr>
              <w:t> 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t>3.7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t>5.7</w:t>
            </w:r>
          </w:p>
        </w:tc>
      </w:tr>
      <w:tr w:rsidR="00240DA0" w:rsidTr="002E57DB">
        <w:trPr>
          <w:trHeight w:val="302"/>
        </w:trPr>
        <w:tc>
          <w:tcPr>
            <w:tcW w:w="2015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40DA0" w:rsidRDefault="00240DA0" w:rsidP="005A2945">
            <w:pPr>
              <w:rPr>
                <w:rFonts w:ascii="新細明體" w:hAnsi="新細明體" w:cs="Arial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40DA0" w:rsidRDefault="00240DA0" w:rsidP="005A2945">
            <w:r>
              <w:rPr>
                <w:rFonts w:ascii="新細明體" w:hAnsi="新細明體" w:cs="Arial" w:hint="eastAsia"/>
              </w:rPr>
              <w:t>最低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rPr>
                <w:rFonts w:hint="eastAsia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rPr>
                <w:rFonts w:hint="eastAsia"/>
              </w:rPr>
              <w:t> </w:t>
            </w:r>
          </w:p>
        </w:tc>
        <w:tc>
          <w:tcPr>
            <w:tcW w:w="95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t>5.0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t>-2.2</w:t>
            </w:r>
          </w:p>
        </w:tc>
      </w:tr>
      <w:tr w:rsidR="00240DA0" w:rsidTr="002E57DB">
        <w:trPr>
          <w:trHeight w:val="302"/>
        </w:trPr>
        <w:tc>
          <w:tcPr>
            <w:tcW w:w="2015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40DA0" w:rsidRDefault="00240DA0" w:rsidP="005A2945">
            <w:pPr>
              <w:rPr>
                <w:rFonts w:ascii="新細明體" w:hAnsi="新細明體" w:cs="Arial"/>
              </w:rPr>
            </w:pPr>
            <w:r>
              <w:rPr>
                <w:rFonts w:ascii="新細明體" w:hAnsi="新細明體" w:cs="Arial" w:hint="eastAsia"/>
              </w:rPr>
              <w:t>每月工作收入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Default="00240DA0" w:rsidP="005A2945">
            <w:r>
              <w:rPr>
                <w:rFonts w:ascii="新細明體" w:hAnsi="新細明體" w:cs="Arial" w:hint="eastAsia"/>
              </w:rPr>
              <w:t>基線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t>10.8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t>12.8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t>0.0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t>0.0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t>7.2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t>3.5</w:t>
            </w:r>
          </w:p>
        </w:tc>
      </w:tr>
      <w:tr w:rsidR="00240DA0" w:rsidTr="002E57DB">
        <w:trPr>
          <w:trHeight w:val="302"/>
        </w:trPr>
        <w:tc>
          <w:tcPr>
            <w:tcW w:w="20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Default="00240DA0" w:rsidP="005A2945">
            <w:pPr>
              <w:rPr>
                <w:rFonts w:ascii="新細明體" w:hAnsi="新細明體" w:cs="Arial"/>
              </w:rPr>
            </w:pPr>
            <w:r>
              <w:rPr>
                <w:rFonts w:ascii="新細明體" w:hAnsi="新細明體" w:cs="Arial" w:hint="eastAsia"/>
              </w:rPr>
              <w:t>中位數</w:t>
            </w: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40DA0" w:rsidRDefault="00240DA0" w:rsidP="005A2945">
            <w:r>
              <w:rPr>
                <w:rFonts w:ascii="新細明體" w:hAnsi="新細明體" w:cs="Arial" w:hint="eastAsia"/>
              </w:rPr>
              <w:t>最高</w:t>
            </w:r>
          </w:p>
        </w:tc>
        <w:tc>
          <w:tcPr>
            <w:tcW w:w="124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rPr>
                <w:rFonts w:hint="eastAsia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rPr>
                <w:rFonts w:hint="eastAsia"/>
              </w:rPr>
              <w:t> 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t>9.4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t>9.1</w:t>
            </w:r>
          </w:p>
        </w:tc>
      </w:tr>
      <w:tr w:rsidR="00240DA0" w:rsidTr="002E57DB">
        <w:trPr>
          <w:trHeight w:val="302"/>
        </w:trPr>
        <w:tc>
          <w:tcPr>
            <w:tcW w:w="2015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40DA0" w:rsidRDefault="00240DA0" w:rsidP="005A2945">
            <w:pPr>
              <w:rPr>
                <w:rFonts w:ascii="新細明體" w:hAnsi="新細明體" w:cs="Arial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40DA0" w:rsidRDefault="00240DA0" w:rsidP="005A2945">
            <w:r>
              <w:rPr>
                <w:rFonts w:ascii="新細明體" w:hAnsi="新細明體" w:cs="Arial" w:hint="eastAsia"/>
              </w:rPr>
              <w:t>最低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rPr>
                <w:rFonts w:hint="eastAsia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rPr>
                <w:rFonts w:hint="eastAsia"/>
              </w:rPr>
              <w:t> </w:t>
            </w:r>
          </w:p>
        </w:tc>
        <w:tc>
          <w:tcPr>
            <w:tcW w:w="95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t>1.8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t>1.2</w:t>
            </w:r>
          </w:p>
        </w:tc>
      </w:tr>
      <w:tr w:rsidR="00240DA0" w:rsidTr="002E57DB">
        <w:trPr>
          <w:trHeight w:val="302"/>
        </w:trPr>
        <w:tc>
          <w:tcPr>
            <w:tcW w:w="2015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40DA0" w:rsidRDefault="00240DA0" w:rsidP="005A2945">
            <w:pPr>
              <w:rPr>
                <w:rFonts w:ascii="新細明體" w:hAnsi="新細明體" w:cs="Arial"/>
              </w:rPr>
            </w:pPr>
            <w:r>
              <w:rPr>
                <w:rFonts w:ascii="新細明體" w:hAnsi="新細明體" w:cs="Arial" w:hint="eastAsia"/>
              </w:rPr>
              <w:t xml:space="preserve">失業率 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Default="00240DA0" w:rsidP="005A2945">
            <w:r>
              <w:rPr>
                <w:rFonts w:ascii="新細明體" w:hAnsi="新細明體" w:cs="Arial" w:hint="eastAsia"/>
              </w:rPr>
              <w:t>基線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t>1.7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t>1.8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t>1.9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t>2.0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t>2.0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t>1.9</w:t>
            </w:r>
          </w:p>
        </w:tc>
      </w:tr>
      <w:tr w:rsidR="00240DA0" w:rsidTr="002E57DB">
        <w:trPr>
          <w:trHeight w:val="302"/>
        </w:trPr>
        <w:tc>
          <w:tcPr>
            <w:tcW w:w="20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Default="00240DA0" w:rsidP="005A2945">
            <w:pPr>
              <w:rPr>
                <w:rFonts w:ascii="新細明體" w:hAnsi="新細明體" w:cs="Arial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Default="00240DA0" w:rsidP="005A2945">
            <w:r>
              <w:rPr>
                <w:rFonts w:ascii="新細明體" w:hAnsi="新細明體" w:cs="Arial" w:hint="eastAsia"/>
              </w:rPr>
              <w:t>最高</w:t>
            </w:r>
          </w:p>
        </w:tc>
        <w:tc>
          <w:tcPr>
            <w:tcW w:w="124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rPr>
                <w:rFonts w:hint="eastAsia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rPr>
                <w:rFonts w:hint="eastAsia"/>
              </w:rPr>
              <w:t> 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t>2.1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t>2.7</w:t>
            </w:r>
          </w:p>
        </w:tc>
      </w:tr>
      <w:tr w:rsidR="00240DA0" w:rsidTr="002E57DB">
        <w:trPr>
          <w:trHeight w:val="302"/>
        </w:trPr>
        <w:tc>
          <w:tcPr>
            <w:tcW w:w="2015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40DA0" w:rsidRDefault="00240DA0" w:rsidP="005A2945">
            <w:pPr>
              <w:rPr>
                <w:rFonts w:ascii="新細明體" w:hAnsi="新細明體" w:cs="Arial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40DA0" w:rsidRDefault="00240DA0" w:rsidP="005A2945">
            <w:r>
              <w:rPr>
                <w:rFonts w:ascii="新細明體" w:hAnsi="新細明體" w:cs="Arial" w:hint="eastAsia"/>
              </w:rPr>
              <w:t>最低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rPr>
                <w:rFonts w:hint="eastAsia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rPr>
                <w:rFonts w:hint="eastAsia"/>
              </w:rPr>
              <w:t> </w:t>
            </w:r>
          </w:p>
        </w:tc>
        <w:tc>
          <w:tcPr>
            <w:tcW w:w="95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t>2.4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t>1.6</w:t>
            </w:r>
          </w:p>
        </w:tc>
      </w:tr>
      <w:tr w:rsidR="00240DA0" w:rsidTr="002E57DB">
        <w:trPr>
          <w:trHeight w:val="302"/>
        </w:trPr>
        <w:tc>
          <w:tcPr>
            <w:tcW w:w="2015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40DA0" w:rsidRDefault="00240DA0" w:rsidP="005A2945">
            <w:pPr>
              <w:rPr>
                <w:rFonts w:ascii="新細明體" w:hAnsi="新細明體" w:cs="Arial"/>
              </w:rPr>
            </w:pPr>
            <w:r>
              <w:rPr>
                <w:rFonts w:ascii="新細明體" w:hAnsi="新細明體" w:cs="Arial" w:hint="eastAsia"/>
              </w:rPr>
              <w:t>本地居民失業率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Default="00240DA0" w:rsidP="005A2945">
            <w:r>
              <w:rPr>
                <w:rFonts w:ascii="新細明體" w:hAnsi="新細明體" w:cs="Arial" w:hint="eastAsia"/>
              </w:rPr>
              <w:t>基線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t>2.3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t>2.5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t>2.7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t>2.7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t>2.6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t>2.5</w:t>
            </w:r>
          </w:p>
        </w:tc>
      </w:tr>
      <w:tr w:rsidR="00240DA0" w:rsidTr="002E57DB">
        <w:trPr>
          <w:trHeight w:val="316"/>
        </w:trPr>
        <w:tc>
          <w:tcPr>
            <w:tcW w:w="20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0DA0" w:rsidRDefault="00240DA0" w:rsidP="005A2945">
            <w:pPr>
              <w:snapToGrid w:val="0"/>
              <w:rPr>
                <w:sz w:val="20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0DA0" w:rsidRDefault="00240DA0" w:rsidP="005A2945">
            <w:r>
              <w:rPr>
                <w:rFonts w:ascii="新細明體" w:hAnsi="新細明體" w:cs="Arial" w:hint="eastAsia"/>
              </w:rPr>
              <w:t>最高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rPr>
                <w:rFonts w:hint="eastAsia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rPr>
                <w:rFonts w:hint="eastAsia"/>
              </w:rPr>
              <w:t> 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t>2.8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40DA0" w:rsidRPr="00524A57" w:rsidRDefault="00240DA0" w:rsidP="0059241E">
            <w:pPr>
              <w:jc w:val="right"/>
            </w:pPr>
            <w:r w:rsidRPr="00524A57">
              <w:t>3.5</w:t>
            </w:r>
          </w:p>
        </w:tc>
      </w:tr>
    </w:tbl>
    <w:p w:rsidR="00CB1799" w:rsidRDefault="00CB1799" w:rsidP="00CB1799">
      <w:bookmarkStart w:id="28" w:name="_Hlk517087238"/>
    </w:p>
    <w:p w:rsidR="00C77154" w:rsidRDefault="00C77154" w:rsidP="00C77154">
      <w:pPr>
        <w:rPr>
          <w:i/>
          <w:sz w:val="18"/>
          <w:szCs w:val="18"/>
        </w:rPr>
      </w:pPr>
      <w:r w:rsidRPr="00543726">
        <w:rPr>
          <w:u w:val="single"/>
        </w:rPr>
        <w:t xml:space="preserve">                                                                      </w:t>
      </w:r>
    </w:p>
    <w:p w:rsidR="00C77154" w:rsidRPr="00260FD8" w:rsidRDefault="007850DB" w:rsidP="00C77154">
      <w:pPr>
        <w:widowControl/>
        <w:autoSpaceDE w:val="0"/>
        <w:autoSpaceDN w:val="0"/>
        <w:adjustRightInd w:val="0"/>
        <w:spacing w:line="240" w:lineRule="exact"/>
        <w:contextualSpacing/>
        <w:rPr>
          <w:rFonts w:ascii="細明體" w:eastAsia="細明體" w:cs="細明體"/>
          <w:b/>
          <w:bCs/>
          <w:iCs/>
          <w:color w:val="000000"/>
          <w:kern w:val="0"/>
          <w:sz w:val="20"/>
        </w:rPr>
      </w:pPr>
      <w:r>
        <w:rPr>
          <w:rFonts w:ascii="細明體" w:eastAsia="細明體"/>
          <w:noProof/>
          <w:kern w:val="0"/>
          <w:szCs w:val="24"/>
        </w:rPr>
        <w:drawing>
          <wp:anchor distT="0" distB="0" distL="114300" distR="114300" simplePos="0" relativeHeight="251659776" behindDoc="0" locked="0" layoutInCell="1" allowOverlap="1" wp14:anchorId="7750F4C0" wp14:editId="77CA6FCB">
            <wp:simplePos x="0" y="0"/>
            <wp:positionH relativeFrom="column">
              <wp:posOffset>5105372</wp:posOffset>
            </wp:positionH>
            <wp:positionV relativeFrom="paragraph">
              <wp:posOffset>11513</wp:posOffset>
            </wp:positionV>
            <wp:extent cx="588230" cy="605398"/>
            <wp:effectExtent l="0" t="0" r="2540" b="444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230" cy="605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77154" w:rsidRPr="00260FD8">
        <w:rPr>
          <w:rFonts w:ascii="細明體" w:eastAsia="細明體" w:cs="細明體" w:hint="eastAsia"/>
          <w:b/>
          <w:bCs/>
          <w:iCs/>
          <w:color w:val="000000"/>
          <w:kern w:val="0"/>
          <w:sz w:val="20"/>
        </w:rPr>
        <w:t>媒體聯繫：</w:t>
      </w:r>
    </w:p>
    <w:p w:rsidR="00C77154" w:rsidRDefault="00C77154" w:rsidP="00C77154">
      <w:pPr>
        <w:widowControl/>
        <w:autoSpaceDE w:val="0"/>
        <w:autoSpaceDN w:val="0"/>
        <w:snapToGrid w:val="0"/>
        <w:spacing w:line="240" w:lineRule="exact"/>
        <w:contextualSpacing/>
        <w:mirrorIndents/>
        <w:rPr>
          <w:rFonts w:ascii="細明體" w:eastAsia="細明體" w:cs="細明體"/>
          <w:iCs/>
          <w:color w:val="000000"/>
          <w:kern w:val="0"/>
          <w:sz w:val="20"/>
        </w:rPr>
      </w:pPr>
      <w:r w:rsidRPr="00B20CBC">
        <w:rPr>
          <w:rFonts w:ascii="細明體" w:eastAsia="細明體" w:cs="細明體" w:hint="eastAsia"/>
          <w:iCs/>
          <w:color w:val="000000"/>
          <w:kern w:val="0"/>
          <w:sz w:val="20"/>
        </w:rPr>
        <w:t>李巧雲</w:t>
      </w:r>
      <w:r w:rsidRPr="00B20CBC">
        <w:rPr>
          <w:rFonts w:ascii="細明體" w:eastAsia="細明體" w:cs="細明體"/>
          <w:iCs/>
          <w:color w:val="000000"/>
          <w:kern w:val="0"/>
          <w:sz w:val="20"/>
        </w:rPr>
        <w:t xml:space="preserve"> </w:t>
      </w:r>
      <w:r w:rsidRPr="00B20CBC">
        <w:rPr>
          <w:rFonts w:ascii="細明體" w:eastAsia="細明體" w:cs="細明體" w:hint="eastAsia"/>
          <w:iCs/>
          <w:color w:val="000000"/>
          <w:kern w:val="0"/>
          <w:sz w:val="20"/>
        </w:rPr>
        <w:t>電話：</w:t>
      </w:r>
      <w:r w:rsidRPr="00B20CBC">
        <w:rPr>
          <w:rFonts w:ascii="細明體" w:eastAsia="細明體" w:cs="細明體"/>
          <w:iCs/>
          <w:color w:val="000000"/>
          <w:kern w:val="0"/>
          <w:sz w:val="20"/>
        </w:rPr>
        <w:t>(853) 8822</w:t>
      </w:r>
      <w:r>
        <w:rPr>
          <w:rFonts w:ascii="細明體" w:eastAsia="細明體" w:cs="細明體" w:hint="eastAsia"/>
          <w:iCs/>
          <w:color w:val="000000"/>
          <w:kern w:val="0"/>
          <w:sz w:val="20"/>
        </w:rPr>
        <w:t xml:space="preserve"> </w:t>
      </w:r>
      <w:r w:rsidRPr="00B20CBC">
        <w:rPr>
          <w:rFonts w:ascii="細明體" w:eastAsia="細明體" w:cs="細明體"/>
          <w:iCs/>
          <w:color w:val="000000"/>
          <w:kern w:val="0"/>
          <w:sz w:val="20"/>
        </w:rPr>
        <w:t>8004</w:t>
      </w:r>
      <w:r>
        <w:rPr>
          <w:rFonts w:ascii="細明體" w:eastAsia="細明體" w:cs="細明體" w:hint="eastAsia"/>
          <w:iCs/>
          <w:color w:val="000000"/>
          <w:kern w:val="0"/>
          <w:sz w:val="20"/>
        </w:rPr>
        <w:t xml:space="preserve"> </w:t>
      </w:r>
    </w:p>
    <w:p w:rsidR="00C77154" w:rsidRPr="00B20CBC" w:rsidRDefault="00BD1E94" w:rsidP="00C77154">
      <w:pPr>
        <w:widowControl/>
        <w:autoSpaceDE w:val="0"/>
        <w:autoSpaceDN w:val="0"/>
        <w:snapToGrid w:val="0"/>
        <w:spacing w:line="240" w:lineRule="exact"/>
        <w:contextualSpacing/>
        <w:mirrorIndents/>
        <w:rPr>
          <w:rFonts w:ascii="細明體" w:eastAsia="細明體" w:cs="細明體"/>
          <w:iCs/>
          <w:color w:val="000000"/>
          <w:kern w:val="0"/>
          <w:sz w:val="20"/>
        </w:rPr>
      </w:pPr>
      <w:r>
        <w:rPr>
          <w:rFonts w:ascii="細明體" w:eastAsia="細明體" w:cs="細明體" w:hint="eastAsia"/>
          <w:iCs/>
          <w:color w:val="000000"/>
          <w:kern w:val="0"/>
          <w:sz w:val="20"/>
        </w:rPr>
        <w:t>余偉業</w:t>
      </w:r>
      <w:r w:rsidR="00C77154" w:rsidRPr="00B20CBC">
        <w:rPr>
          <w:rFonts w:ascii="細明體" w:eastAsia="細明體" w:cs="細明體"/>
          <w:iCs/>
          <w:color w:val="000000"/>
          <w:kern w:val="0"/>
          <w:sz w:val="20"/>
        </w:rPr>
        <w:t xml:space="preserve"> </w:t>
      </w:r>
      <w:r w:rsidR="00C77154" w:rsidRPr="00B20CBC">
        <w:rPr>
          <w:rFonts w:ascii="細明體" w:eastAsia="細明體" w:cs="細明體" w:hint="eastAsia"/>
          <w:iCs/>
          <w:color w:val="000000"/>
          <w:kern w:val="0"/>
          <w:sz w:val="20"/>
        </w:rPr>
        <w:t>電話：</w:t>
      </w:r>
      <w:r w:rsidR="00C77154" w:rsidRPr="00B20CBC">
        <w:rPr>
          <w:rFonts w:ascii="細明體" w:eastAsia="細明體" w:cs="細明體"/>
          <w:iCs/>
          <w:color w:val="000000"/>
          <w:kern w:val="0"/>
          <w:sz w:val="20"/>
        </w:rPr>
        <w:t>(853) 8822</w:t>
      </w:r>
      <w:r w:rsidR="00C77154">
        <w:rPr>
          <w:rFonts w:ascii="細明體" w:eastAsia="細明體" w:cs="細明體" w:hint="eastAsia"/>
          <w:iCs/>
          <w:color w:val="000000"/>
          <w:kern w:val="0"/>
          <w:sz w:val="20"/>
        </w:rPr>
        <w:t xml:space="preserve"> </w:t>
      </w:r>
      <w:r>
        <w:rPr>
          <w:rFonts w:ascii="細明體" w:eastAsia="細明體" w:cs="細明體" w:hint="eastAsia"/>
          <w:iCs/>
          <w:color w:val="000000"/>
          <w:kern w:val="0"/>
          <w:sz w:val="20"/>
        </w:rPr>
        <w:t>4322</w:t>
      </w:r>
    </w:p>
    <w:p w:rsidR="00C77154" w:rsidRPr="00F35453" w:rsidRDefault="00C77154" w:rsidP="00C77154">
      <w:pPr>
        <w:spacing w:line="320" w:lineRule="exact"/>
        <w:jc w:val="both"/>
        <w:rPr>
          <w:rFonts w:ascii="新細明體" w:hAnsi="新細明體"/>
          <w:i/>
          <w:color w:val="000000"/>
          <w:kern w:val="0"/>
          <w:sz w:val="20"/>
        </w:rPr>
      </w:pPr>
      <w:r w:rsidRPr="00B20CBC">
        <w:rPr>
          <w:rFonts w:ascii="細明體" w:eastAsia="細明體" w:cs="細明體" w:hint="eastAsia"/>
          <w:iCs/>
          <w:color w:val="000000"/>
          <w:kern w:val="0"/>
          <w:sz w:val="20"/>
        </w:rPr>
        <w:t>澳門大學傳訊部</w:t>
      </w:r>
      <w:r>
        <w:rPr>
          <w:rFonts w:ascii="細明體" w:eastAsia="細明體" w:cs="細明體" w:hint="eastAsia"/>
          <w:iCs/>
          <w:color w:val="000000"/>
          <w:kern w:val="0"/>
          <w:sz w:val="20"/>
        </w:rPr>
        <w:t xml:space="preserve"> </w:t>
      </w:r>
      <w:proofErr w:type="gramStart"/>
      <w:r>
        <w:rPr>
          <w:rFonts w:ascii="細明體" w:eastAsia="細明體" w:cs="細明體" w:hint="eastAsia"/>
          <w:iCs/>
          <w:color w:val="000000"/>
          <w:kern w:val="0"/>
          <w:sz w:val="20"/>
        </w:rPr>
        <w:t>│</w:t>
      </w:r>
      <w:proofErr w:type="gramEnd"/>
      <w:r>
        <w:rPr>
          <w:rFonts w:ascii="細明體" w:eastAsia="細明體" w:cs="細明體" w:hint="eastAsia"/>
          <w:iCs/>
          <w:color w:val="000000"/>
          <w:kern w:val="0"/>
          <w:sz w:val="20"/>
        </w:rPr>
        <w:t xml:space="preserve"> </w:t>
      </w:r>
      <w:r w:rsidRPr="00B20CBC">
        <w:rPr>
          <w:rFonts w:ascii="細明體" w:eastAsia="細明體" w:cs="細明體" w:hint="eastAsia"/>
          <w:iCs/>
          <w:color w:val="000000"/>
          <w:kern w:val="0"/>
          <w:sz w:val="20"/>
        </w:rPr>
        <w:t>電郵：</w:t>
      </w:r>
      <w:r w:rsidRPr="00B20CBC">
        <w:rPr>
          <w:rFonts w:ascii="細明體" w:eastAsia="細明體" w:cs="細明體"/>
          <w:iCs/>
          <w:color w:val="000000"/>
          <w:kern w:val="0"/>
          <w:sz w:val="20"/>
        </w:rPr>
        <w:t xml:space="preserve">prs.media@umac.mo </w:t>
      </w:r>
      <w:proofErr w:type="gramStart"/>
      <w:r>
        <w:rPr>
          <w:rFonts w:ascii="細明體" w:eastAsia="細明體" w:cs="細明體" w:hint="eastAsia"/>
          <w:iCs/>
          <w:color w:val="000000"/>
          <w:kern w:val="0"/>
          <w:sz w:val="20"/>
        </w:rPr>
        <w:t>│</w:t>
      </w:r>
      <w:proofErr w:type="gramEnd"/>
      <w:r>
        <w:rPr>
          <w:rFonts w:ascii="細明體" w:eastAsia="細明體" w:cs="細明體" w:hint="eastAsia"/>
          <w:iCs/>
          <w:color w:val="000000"/>
          <w:kern w:val="0"/>
          <w:sz w:val="20"/>
        </w:rPr>
        <w:t xml:space="preserve"> </w:t>
      </w:r>
      <w:r w:rsidRPr="00B20CBC">
        <w:rPr>
          <w:rFonts w:ascii="細明體" w:eastAsia="細明體" w:cs="細明體" w:hint="eastAsia"/>
          <w:iCs/>
          <w:color w:val="000000"/>
          <w:kern w:val="0"/>
          <w:sz w:val="20"/>
        </w:rPr>
        <w:t>澳門大學網頁：</w:t>
      </w:r>
      <w:hyperlink r:id="rId11" w:history="1">
        <w:r w:rsidRPr="00B20CBC">
          <w:rPr>
            <w:rFonts w:ascii="細明體" w:eastAsia="細明體" w:cs="細明體"/>
            <w:iCs/>
            <w:color w:val="0000FF"/>
            <w:kern w:val="0"/>
            <w:sz w:val="20"/>
            <w:u w:val="single"/>
          </w:rPr>
          <w:t>www.umac.mo</w:t>
        </w:r>
      </w:hyperlink>
      <w:r w:rsidR="007850DB">
        <w:rPr>
          <w:rFonts w:ascii="細明體" w:eastAsia="細明體"/>
          <w:noProof/>
          <w:kern w:val="0"/>
          <w:szCs w:val="24"/>
        </w:rPr>
        <w:drawing>
          <wp:anchor distT="0" distB="0" distL="114300" distR="114300" simplePos="0" relativeHeight="251655680" behindDoc="0" locked="0" layoutInCell="1" allowOverlap="1" wp14:anchorId="2C2FBD4D" wp14:editId="3E7E04DF">
            <wp:simplePos x="0" y="0"/>
            <wp:positionH relativeFrom="column">
              <wp:posOffset>4445635</wp:posOffset>
            </wp:positionH>
            <wp:positionV relativeFrom="paragraph">
              <wp:posOffset>-444500</wp:posOffset>
            </wp:positionV>
            <wp:extent cx="603885" cy="603885"/>
            <wp:effectExtent l="0" t="0" r="5715" b="571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50DB">
        <w:rPr>
          <w:rFonts w:ascii="細明體" w:eastAsia="細明體"/>
          <w:kern w:val="0"/>
          <w:szCs w:val="24"/>
        </w:rPr>
        <w:t xml:space="preserve"> </w:t>
      </w:r>
    </w:p>
    <w:bookmarkEnd w:id="28"/>
    <w:p w:rsidR="000B0BBA" w:rsidRPr="00C77154" w:rsidRDefault="000B0BBA" w:rsidP="00850AE6">
      <w:pPr>
        <w:pStyle w:val="a8"/>
        <w:ind w:left="0"/>
        <w:rPr>
          <w:rFonts w:ascii="新細明體" w:hAnsi="新細明體" w:cs="新細明體"/>
          <w:kern w:val="0"/>
        </w:rPr>
      </w:pPr>
    </w:p>
    <w:sectPr w:rsidR="000B0BBA" w:rsidRPr="00C77154" w:rsidSect="00E35B56">
      <w:headerReference w:type="default" r:id="rId13"/>
      <w:footerReference w:type="default" r:id="rId14"/>
      <w:pgSz w:w="11906" w:h="16838" w:code="9"/>
      <w:pgMar w:top="2835" w:right="1701" w:bottom="1701" w:left="1701" w:header="992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02E" w:rsidRDefault="00AE002E">
      <w:r>
        <w:separator/>
      </w:r>
    </w:p>
  </w:endnote>
  <w:endnote w:type="continuationSeparator" w:id="0">
    <w:p w:rsidR="00AE002E" w:rsidRDefault="00AE0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FKaiShu-SB-Estd-BF">
    <w:altName w:val="Arial Unicode MS"/>
    <w:charset w:val="86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JhengHeiRegular">
    <w:altName w:val="SimSun"/>
    <w:charset w:val="86"/>
    <w:family w:val="auto"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945" w:rsidRDefault="005A2945">
    <w:pPr>
      <w:pStyle w:val="a5"/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-762000</wp:posOffset>
              </wp:positionH>
              <wp:positionV relativeFrom="page">
                <wp:posOffset>10134600</wp:posOffset>
              </wp:positionV>
              <wp:extent cx="6708140" cy="692785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08140" cy="692785"/>
                        <a:chOff x="737" y="15989"/>
                        <a:chExt cx="10564" cy="720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253" y="15989"/>
                          <a:ext cx="5768" cy="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2945" w:rsidRDefault="005A2945">
                            <w:pPr>
                              <w:spacing w:line="240" w:lineRule="exact"/>
                              <w:jc w:val="center"/>
                              <w:rPr>
                                <w:sz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737" y="16074"/>
                          <a:ext cx="1440" cy="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2945" w:rsidRDefault="005A2945">
                            <w:pPr>
                              <w:snapToGrid w:val="0"/>
                              <w:spacing w:line="200" w:lineRule="exac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9501" y="16074"/>
                          <a:ext cx="1800" cy="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2945" w:rsidRDefault="005A294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id="Group 1" o:spid="_x0000_s1026" style="position:absolute;margin-left:-60pt;margin-top:798pt;width:528.2pt;height:54.55pt;z-index:251656704;mso-position-vertical-relative:page" coordorigin="737,15989" coordsize="10564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253;top:15989;width:5768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<v:textbox>
                  <w:txbxContent>
                    <w:p w:rsidR="005A2945" w:rsidRDefault="005A2945">
                      <w:pPr>
                        <w:spacing w:line="240" w:lineRule="exact"/>
                        <w:jc w:val="center"/>
                        <w:rPr>
                          <w:sz w:val="13"/>
                        </w:rPr>
                      </w:pPr>
                    </w:p>
                  </w:txbxContent>
                </v:textbox>
              </v:shape>
              <v:shape id="Text Box 3" o:spid="_x0000_s1028" type="#_x0000_t202" style="position:absolute;left:737;top:16074;width:14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<v:textbox>
                  <w:txbxContent>
                    <w:p w:rsidR="005A2945" w:rsidRDefault="005A2945">
                      <w:pPr>
                        <w:snapToGrid w:val="0"/>
                        <w:spacing w:line="200" w:lineRule="exact"/>
                      </w:pPr>
                    </w:p>
                  </w:txbxContent>
                </v:textbox>
              </v:shape>
              <v:shape id="Text Box 4" o:spid="_x0000_s1029" type="#_x0000_t202" style="position:absolute;left:9501;top:16074;width:18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<v:textbox>
                  <w:txbxContent>
                    <w:p w:rsidR="005A2945" w:rsidRDefault="005A2945"/>
                  </w:txbxContent>
                </v:textbox>
              </v:shape>
              <w10:wrap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838200</wp:posOffset>
              </wp:positionH>
              <wp:positionV relativeFrom="paragraph">
                <wp:posOffset>138430</wp:posOffset>
              </wp:positionV>
              <wp:extent cx="3810000" cy="800100"/>
              <wp:effectExtent l="0" t="0" r="0" b="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2945" w:rsidRPr="007F36DD" w:rsidRDefault="005A2945" w:rsidP="00842655">
                          <w:pPr>
                            <w:jc w:val="center"/>
                            <w:rPr>
                              <w:rFonts w:ascii="新細明體" w:hAnsi="新細明體" w:cs="Arial"/>
                              <w:sz w:val="14"/>
                              <w:szCs w:val="14"/>
                              <w:lang w:val="pt-PT"/>
                            </w:rPr>
                          </w:pPr>
                          <w:r>
                            <w:rPr>
                              <w:rFonts w:ascii="新細明體" w:hAnsi="新細明體" w:hint="eastAsia"/>
                              <w:sz w:val="14"/>
                              <w:szCs w:val="14"/>
                            </w:rPr>
                            <w:t>中國</w:t>
                          </w:r>
                          <w:r w:rsidRPr="00F14908">
                            <w:rPr>
                              <w:rFonts w:ascii="新細明體" w:hAnsi="新細明體"/>
                              <w:sz w:val="14"/>
                              <w:szCs w:val="14"/>
                            </w:rPr>
                            <w:t>澳門氹仔</w:t>
                          </w:r>
                          <w:r>
                            <w:rPr>
                              <w:rFonts w:ascii="新細明體" w:hAnsi="新細明體" w:hint="eastAsia"/>
                              <w:sz w:val="14"/>
                              <w:szCs w:val="14"/>
                            </w:rPr>
                            <w:t>大學大</w:t>
                          </w:r>
                          <w:r w:rsidRPr="00F14908">
                            <w:rPr>
                              <w:rFonts w:ascii="新細明體" w:hAnsi="新細明體"/>
                              <w:sz w:val="14"/>
                              <w:szCs w:val="14"/>
                            </w:rPr>
                            <w:t xml:space="preserve">馬路 </w:t>
                          </w:r>
                          <w:r w:rsidRPr="00F14908">
                            <w:rPr>
                              <w:rFonts w:ascii="新細明體" w:hAnsi="新細明體" w:cs="Arial"/>
                              <w:caps/>
                              <w:sz w:val="14"/>
                              <w:szCs w:val="14"/>
                            </w:rPr>
                            <w:t>Av</w:t>
                          </w:r>
                          <w:r>
                            <w:rPr>
                              <w:rFonts w:ascii="新細明體" w:hAnsi="新細明體" w:cs="Arial"/>
                              <w:caps/>
                              <w:sz w:val="14"/>
                              <w:szCs w:val="14"/>
                            </w:rPr>
                            <w:t>ENIDA DA UNIVERSIDADE</w:t>
                          </w:r>
                          <w:r w:rsidRPr="007F36DD">
                            <w:rPr>
                              <w:rFonts w:ascii="新細明體" w:hAnsi="新細明體" w:cs="Arial"/>
                              <w:caps/>
                              <w:sz w:val="14"/>
                              <w:szCs w:val="14"/>
                              <w:lang w:val="pt-PT"/>
                            </w:rPr>
                            <w:t>, Taipa, Macau, China</w:t>
                          </w:r>
                        </w:p>
                        <w:p w:rsidR="005A2945" w:rsidRPr="00F14908" w:rsidRDefault="005A2945" w:rsidP="00842655">
                          <w:pPr>
                            <w:jc w:val="center"/>
                            <w:rPr>
                              <w:rFonts w:ascii="新細明體" w:hAnsi="新細明體"/>
                              <w:sz w:val="14"/>
                              <w:szCs w:val="14"/>
                            </w:rPr>
                          </w:pPr>
                          <w:r w:rsidRPr="00F14908">
                            <w:rPr>
                              <w:rFonts w:ascii="新細明體" w:hAnsi="新細明體" w:cs="Arial"/>
                              <w:sz w:val="14"/>
                              <w:szCs w:val="14"/>
                            </w:rPr>
                            <w:t xml:space="preserve">電話 Tel.: </w:t>
                          </w:r>
                          <w:r>
                            <w:rPr>
                              <w:rFonts w:ascii="新細明體" w:hAnsi="新細明體" w:cs="Arial" w:hint="eastAsia"/>
                              <w:sz w:val="14"/>
                              <w:szCs w:val="14"/>
                            </w:rPr>
                            <w:t>8</w:t>
                          </w:r>
                          <w:r>
                            <w:rPr>
                              <w:rFonts w:ascii="新細明體" w:hAnsi="新細明體" w:cs="Arial"/>
                              <w:sz w:val="14"/>
                              <w:szCs w:val="14"/>
                            </w:rPr>
                            <w:t>822</w:t>
                          </w:r>
                          <w:r>
                            <w:rPr>
                              <w:rFonts w:ascii="新細明體" w:hAnsi="新細明體" w:cs="Arial" w:hint="eastAsia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新細明體" w:hAnsi="新細明體" w:cs="Arial"/>
                              <w:sz w:val="14"/>
                              <w:szCs w:val="14"/>
                            </w:rPr>
                            <w:t>8833</w:t>
                          </w:r>
                          <w:r w:rsidRPr="00F14908">
                            <w:rPr>
                              <w:rFonts w:ascii="新細明體" w:hAnsi="新細明體" w:cs="Arial"/>
                              <w:sz w:val="14"/>
                              <w:szCs w:val="14"/>
                            </w:rPr>
                            <w:t xml:space="preserve">  傳真 Fax.: </w:t>
                          </w:r>
                          <w:r>
                            <w:rPr>
                              <w:rFonts w:ascii="新細明體" w:hAnsi="新細明體" w:cs="Arial" w:hint="eastAsia"/>
                              <w:sz w:val="14"/>
                              <w:szCs w:val="14"/>
                            </w:rPr>
                            <w:t>8</w:t>
                          </w:r>
                          <w:r>
                            <w:rPr>
                              <w:rFonts w:ascii="新細明體" w:hAnsi="新細明體" w:cs="Arial"/>
                              <w:sz w:val="14"/>
                              <w:szCs w:val="14"/>
                            </w:rPr>
                            <w:t>822</w:t>
                          </w:r>
                          <w:r>
                            <w:rPr>
                              <w:rFonts w:ascii="新細明體" w:hAnsi="新細明體" w:cs="Arial" w:hint="eastAsia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新細明體" w:hAnsi="新細明體" w:cs="Arial"/>
                              <w:sz w:val="14"/>
                              <w:szCs w:val="14"/>
                            </w:rPr>
                            <w:t>8822</w:t>
                          </w:r>
                        </w:p>
                        <w:p w:rsidR="005A2945" w:rsidRDefault="005A2945" w:rsidP="00453838">
                          <w:pPr>
                            <w:spacing w:line="240" w:lineRule="exact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id="Text Box 11" o:spid="_x0000_s1030" type="#_x0000_t202" style="position:absolute;margin-left:66pt;margin-top:10.9pt;width:300pt;height:6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" stroked="f">
              <v:textbox>
                <w:txbxContent>
                  <w:p w:rsidR="005A2945" w:rsidRPr="007F36DD" w:rsidRDefault="005A2945" w:rsidP="00842655">
                    <w:pPr>
                      <w:jc w:val="center"/>
                      <w:rPr>
                        <w:rFonts w:ascii="PMingLiU" w:hAnsi="PMingLiU" w:cs="Arial"/>
                        <w:sz w:val="14"/>
                        <w:szCs w:val="14"/>
                        <w:lang w:val="pt-PT"/>
                      </w:rPr>
                    </w:pPr>
                    <w:r>
                      <w:rPr>
                        <w:rFonts w:ascii="PMingLiU" w:hAnsi="PMingLiU" w:hint="eastAsia"/>
                        <w:sz w:val="14"/>
                        <w:szCs w:val="14"/>
                      </w:rPr>
                      <w:t>中國</w:t>
                    </w:r>
                    <w:r w:rsidRPr="00F14908">
                      <w:rPr>
                        <w:rFonts w:ascii="PMingLiU" w:hAnsi="PMingLiU"/>
                        <w:sz w:val="14"/>
                        <w:szCs w:val="14"/>
                      </w:rPr>
                      <w:t>澳門氹仔</w:t>
                    </w:r>
                    <w:r>
                      <w:rPr>
                        <w:rFonts w:ascii="PMingLiU" w:hAnsi="PMingLiU" w:hint="eastAsia"/>
                        <w:sz w:val="14"/>
                        <w:szCs w:val="14"/>
                      </w:rPr>
                      <w:t>大學大</w:t>
                    </w:r>
                    <w:r w:rsidRPr="00F14908">
                      <w:rPr>
                        <w:rFonts w:ascii="PMingLiU" w:hAnsi="PMingLiU"/>
                        <w:sz w:val="14"/>
                        <w:szCs w:val="14"/>
                      </w:rPr>
                      <w:t xml:space="preserve">馬路 </w:t>
                    </w:r>
                    <w:r w:rsidRPr="00F14908">
                      <w:rPr>
                        <w:rFonts w:ascii="PMingLiU" w:hAnsi="PMingLiU" w:cs="Arial"/>
                        <w:caps/>
                        <w:sz w:val="14"/>
                        <w:szCs w:val="14"/>
                      </w:rPr>
                      <w:t>Av</w:t>
                    </w:r>
                    <w:r>
                      <w:rPr>
                        <w:rFonts w:ascii="PMingLiU" w:hAnsi="PMingLiU" w:cs="Arial"/>
                        <w:caps/>
                        <w:sz w:val="14"/>
                        <w:szCs w:val="14"/>
                      </w:rPr>
                      <w:t>ENIDA DA UNIVERSIDADE</w:t>
                    </w:r>
                    <w:r w:rsidRPr="007F36DD">
                      <w:rPr>
                        <w:rFonts w:ascii="PMingLiU" w:hAnsi="PMingLiU" w:cs="Arial"/>
                        <w:caps/>
                        <w:sz w:val="14"/>
                        <w:szCs w:val="14"/>
                        <w:lang w:val="pt-PT"/>
                      </w:rPr>
                      <w:t>, Taipa, Macau, China</w:t>
                    </w:r>
                  </w:p>
                  <w:p w:rsidR="005A2945" w:rsidRPr="00F14908" w:rsidRDefault="005A2945" w:rsidP="00842655">
                    <w:pPr>
                      <w:jc w:val="center"/>
                      <w:rPr>
                        <w:rFonts w:ascii="PMingLiU" w:hAnsi="PMingLiU"/>
                        <w:sz w:val="14"/>
                        <w:szCs w:val="14"/>
                      </w:rPr>
                    </w:pPr>
                    <w:r w:rsidRPr="00F14908">
                      <w:rPr>
                        <w:rFonts w:ascii="PMingLiU" w:hAnsi="PMingLiU" w:cs="Arial"/>
                        <w:sz w:val="14"/>
                        <w:szCs w:val="14"/>
                      </w:rPr>
                      <w:t xml:space="preserve">電話 Tel.: </w:t>
                    </w:r>
                    <w:r>
                      <w:rPr>
                        <w:rFonts w:ascii="PMingLiU" w:hAnsi="PMingLiU" w:cs="Arial" w:hint="eastAsia"/>
                        <w:sz w:val="14"/>
                        <w:szCs w:val="14"/>
                      </w:rPr>
                      <w:t>8</w:t>
                    </w:r>
                    <w:r>
                      <w:rPr>
                        <w:rFonts w:ascii="PMingLiU" w:hAnsi="PMingLiU" w:cs="Arial"/>
                        <w:sz w:val="14"/>
                        <w:szCs w:val="14"/>
                      </w:rPr>
                      <w:t>822</w:t>
                    </w:r>
                    <w:r>
                      <w:rPr>
                        <w:rFonts w:ascii="PMingLiU" w:hAnsi="PMingLiU" w:cs="Arial" w:hint="eastAsia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PMingLiU" w:hAnsi="PMingLiU" w:cs="Arial"/>
                        <w:sz w:val="14"/>
                        <w:szCs w:val="14"/>
                      </w:rPr>
                      <w:t>8833</w:t>
                    </w:r>
                    <w:r w:rsidRPr="00F14908">
                      <w:rPr>
                        <w:rFonts w:ascii="PMingLiU" w:hAnsi="PMingLiU" w:cs="Arial"/>
                        <w:sz w:val="14"/>
                        <w:szCs w:val="14"/>
                      </w:rPr>
                      <w:t xml:space="preserve">  傳真 Fax.: </w:t>
                    </w:r>
                    <w:r>
                      <w:rPr>
                        <w:rFonts w:ascii="PMingLiU" w:hAnsi="PMingLiU" w:cs="Arial" w:hint="eastAsia"/>
                        <w:sz w:val="14"/>
                        <w:szCs w:val="14"/>
                      </w:rPr>
                      <w:t>8</w:t>
                    </w:r>
                    <w:r>
                      <w:rPr>
                        <w:rFonts w:ascii="PMingLiU" w:hAnsi="PMingLiU" w:cs="Arial"/>
                        <w:sz w:val="14"/>
                        <w:szCs w:val="14"/>
                      </w:rPr>
                      <w:t>822</w:t>
                    </w:r>
                    <w:r>
                      <w:rPr>
                        <w:rFonts w:ascii="PMingLiU" w:hAnsi="PMingLiU" w:cs="Arial" w:hint="eastAsia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PMingLiU" w:hAnsi="PMingLiU" w:cs="Arial"/>
                        <w:sz w:val="14"/>
                        <w:szCs w:val="14"/>
                      </w:rPr>
                      <w:t>8822</w:t>
                    </w:r>
                  </w:p>
                  <w:p w:rsidR="005A2945" w:rsidRDefault="005A2945" w:rsidP="00453838">
                    <w:pPr>
                      <w:spacing w:line="240" w:lineRule="exact"/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02E" w:rsidRDefault="00AE002E">
      <w:r>
        <w:separator/>
      </w:r>
    </w:p>
  </w:footnote>
  <w:footnote w:type="continuationSeparator" w:id="0">
    <w:p w:rsidR="00AE002E" w:rsidRDefault="00AE00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945" w:rsidRDefault="005A2945" w:rsidP="001235A9">
    <w:pPr>
      <w:pStyle w:val="a4"/>
      <w:jc w:val="righ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1870710</wp:posOffset>
          </wp:positionH>
          <wp:positionV relativeFrom="paragraph">
            <wp:posOffset>-257175</wp:posOffset>
          </wp:positionV>
          <wp:extent cx="1480820" cy="1350010"/>
          <wp:effectExtent l="0" t="0" r="5080" b="2540"/>
          <wp:wrapSquare wrapText="bothSides"/>
          <wp:docPr id="12" name="圖片 12" descr="C:\Users\pslam\Desktop\UM logo\logo\B&amp;W\UM Logo Chinese+Portuguese+English B&amp;W 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pslam\Desktop\UM logo\logo\B&amp;W\UM Logo Chinese+Portuguese+English B&amp;W V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0820" cy="1350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BD143022"/>
    <w:name w:val="WW8Num2"/>
    <w:lvl w:ilvl="0">
      <w:start w:val="1"/>
      <w:numFmt w:val="bullet"/>
      <w:lvlText w:val=""/>
      <w:lvlJc w:val="left"/>
      <w:pPr>
        <w:tabs>
          <w:tab w:val="num" w:pos="567"/>
        </w:tabs>
        <w:ind w:left="567" w:hanging="567"/>
      </w:pPr>
      <w:rPr>
        <w:rFonts w:ascii="Wingdings" w:hAnsi="Wingdings" w:cs="Wingdings" w:hint="default"/>
        <w:b w:val="0"/>
        <w:i w:val="0"/>
        <w:color w:val="auto"/>
        <w:sz w:val="16"/>
        <w:szCs w:val="16"/>
        <w:lang w:val="en-US"/>
      </w:rPr>
    </w:lvl>
  </w:abstractNum>
  <w:abstractNum w:abstractNumId="1" w15:restartNumberingAfterBreak="0">
    <w:nsid w:val="0ED35465"/>
    <w:multiLevelType w:val="hybridMultilevel"/>
    <w:tmpl w:val="B35E8A58"/>
    <w:lvl w:ilvl="0" w:tplc="D744EA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F2DC0"/>
    <w:multiLevelType w:val="hybridMultilevel"/>
    <w:tmpl w:val="0EC4BE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9A14CB"/>
    <w:multiLevelType w:val="hybridMultilevel"/>
    <w:tmpl w:val="FEC09832"/>
    <w:lvl w:ilvl="0" w:tplc="D88294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 stroke="f"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IytTA0MbYwMjA2MjJQ0lEKTi0uzszPAykwrAUAqDPTuiwAAAA="/>
  </w:docVars>
  <w:rsids>
    <w:rsidRoot w:val="00C40CF9"/>
    <w:rsid w:val="00023A51"/>
    <w:rsid w:val="00050036"/>
    <w:rsid w:val="00054DD4"/>
    <w:rsid w:val="00063712"/>
    <w:rsid w:val="00091F4C"/>
    <w:rsid w:val="000974C2"/>
    <w:rsid w:val="000B0BBA"/>
    <w:rsid w:val="000B3A32"/>
    <w:rsid w:val="001235A9"/>
    <w:rsid w:val="00125508"/>
    <w:rsid w:val="00131378"/>
    <w:rsid w:val="00160C6C"/>
    <w:rsid w:val="001A3464"/>
    <w:rsid w:val="001B07EB"/>
    <w:rsid w:val="001D38CD"/>
    <w:rsid w:val="001E5482"/>
    <w:rsid w:val="0020293B"/>
    <w:rsid w:val="00207E9C"/>
    <w:rsid w:val="00213B75"/>
    <w:rsid w:val="00227570"/>
    <w:rsid w:val="00232BEC"/>
    <w:rsid w:val="00235636"/>
    <w:rsid w:val="00240DA0"/>
    <w:rsid w:val="002C06FC"/>
    <w:rsid w:val="002D2A79"/>
    <w:rsid w:val="002D6930"/>
    <w:rsid w:val="002E57DB"/>
    <w:rsid w:val="002E5FEB"/>
    <w:rsid w:val="002F0011"/>
    <w:rsid w:val="003019FC"/>
    <w:rsid w:val="00312AD4"/>
    <w:rsid w:val="00337F4B"/>
    <w:rsid w:val="0034726D"/>
    <w:rsid w:val="003563C3"/>
    <w:rsid w:val="00357C34"/>
    <w:rsid w:val="00393184"/>
    <w:rsid w:val="003B7C72"/>
    <w:rsid w:val="003C076E"/>
    <w:rsid w:val="003D3668"/>
    <w:rsid w:val="00406373"/>
    <w:rsid w:val="00415178"/>
    <w:rsid w:val="00420B81"/>
    <w:rsid w:val="00445870"/>
    <w:rsid w:val="00453838"/>
    <w:rsid w:val="004A113D"/>
    <w:rsid w:val="004D4FF3"/>
    <w:rsid w:val="004D6AD4"/>
    <w:rsid w:val="004F4510"/>
    <w:rsid w:val="005117D0"/>
    <w:rsid w:val="00550980"/>
    <w:rsid w:val="005543E6"/>
    <w:rsid w:val="00575014"/>
    <w:rsid w:val="00582774"/>
    <w:rsid w:val="005A2945"/>
    <w:rsid w:val="005A7A2D"/>
    <w:rsid w:val="0060769C"/>
    <w:rsid w:val="00623E8E"/>
    <w:rsid w:val="006271F2"/>
    <w:rsid w:val="006427E4"/>
    <w:rsid w:val="00653C4C"/>
    <w:rsid w:val="006542BB"/>
    <w:rsid w:val="006670ED"/>
    <w:rsid w:val="006B602D"/>
    <w:rsid w:val="006D366A"/>
    <w:rsid w:val="006D3FE1"/>
    <w:rsid w:val="006E55BB"/>
    <w:rsid w:val="0070707E"/>
    <w:rsid w:val="00726AA6"/>
    <w:rsid w:val="007850DB"/>
    <w:rsid w:val="007A776D"/>
    <w:rsid w:val="007D09DF"/>
    <w:rsid w:val="007E4553"/>
    <w:rsid w:val="008027CC"/>
    <w:rsid w:val="00842655"/>
    <w:rsid w:val="00850AE6"/>
    <w:rsid w:val="008539AB"/>
    <w:rsid w:val="008560C7"/>
    <w:rsid w:val="008C40F3"/>
    <w:rsid w:val="00944620"/>
    <w:rsid w:val="009456DC"/>
    <w:rsid w:val="009671DD"/>
    <w:rsid w:val="00970258"/>
    <w:rsid w:val="009B4D25"/>
    <w:rsid w:val="009D692D"/>
    <w:rsid w:val="00A83192"/>
    <w:rsid w:val="00AC0A05"/>
    <w:rsid w:val="00AD0E4D"/>
    <w:rsid w:val="00AD5642"/>
    <w:rsid w:val="00AE002E"/>
    <w:rsid w:val="00B109BE"/>
    <w:rsid w:val="00B11086"/>
    <w:rsid w:val="00B203F8"/>
    <w:rsid w:val="00B20CBC"/>
    <w:rsid w:val="00B20D14"/>
    <w:rsid w:val="00B634D9"/>
    <w:rsid w:val="00BB401E"/>
    <w:rsid w:val="00BD1E94"/>
    <w:rsid w:val="00BE3103"/>
    <w:rsid w:val="00BF2F62"/>
    <w:rsid w:val="00C40CF9"/>
    <w:rsid w:val="00C77154"/>
    <w:rsid w:val="00C8413A"/>
    <w:rsid w:val="00C9151B"/>
    <w:rsid w:val="00CA3F99"/>
    <w:rsid w:val="00CA5CF3"/>
    <w:rsid w:val="00CB1799"/>
    <w:rsid w:val="00CC25A1"/>
    <w:rsid w:val="00CD1C0F"/>
    <w:rsid w:val="00CF3DE7"/>
    <w:rsid w:val="00CF4016"/>
    <w:rsid w:val="00D718A1"/>
    <w:rsid w:val="00D7447D"/>
    <w:rsid w:val="00D80C36"/>
    <w:rsid w:val="00D82369"/>
    <w:rsid w:val="00DA49D0"/>
    <w:rsid w:val="00DE69D9"/>
    <w:rsid w:val="00DF7B00"/>
    <w:rsid w:val="00E35B56"/>
    <w:rsid w:val="00E37B8B"/>
    <w:rsid w:val="00E44056"/>
    <w:rsid w:val="00E4715C"/>
    <w:rsid w:val="00F073F8"/>
    <w:rsid w:val="00F14908"/>
    <w:rsid w:val="00F25EA8"/>
    <w:rsid w:val="00F336AF"/>
    <w:rsid w:val="00F35453"/>
    <w:rsid w:val="00F511C8"/>
    <w:rsid w:val="00F83ABE"/>
    <w:rsid w:val="00F916ED"/>
    <w:rsid w:val="00FB578D"/>
    <w:rsid w:val="00FD7D0C"/>
    <w:rsid w:val="00FE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stroke="f">
      <v:stroke on="f"/>
    </o:shapedefaults>
    <o:shapelayout v:ext="edit">
      <o:idmap v:ext="edit" data="1"/>
    </o:shapelayout>
  </w:shapeDefaults>
  <w:decimalSymbol w:val="."/>
  <w:listSeparator w:val=","/>
  <w15:docId w15:val="{226A31D0-2080-47E0-BFD9-7E2347660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AD4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Balloon Text"/>
    <w:basedOn w:val="a"/>
    <w:semiHidden/>
    <w:rsid w:val="00F14908"/>
    <w:rPr>
      <w:rFonts w:ascii="Arial" w:hAnsi="Arial"/>
      <w:sz w:val="18"/>
      <w:szCs w:val="18"/>
    </w:rPr>
  </w:style>
  <w:style w:type="paragraph" w:styleId="Web">
    <w:name w:val="Normal (Web)"/>
    <w:basedOn w:val="a"/>
    <w:uiPriority w:val="99"/>
    <w:rsid w:val="004D6AD4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7">
    <w:name w:val="Hyperlink"/>
    <w:rsid w:val="00FE37B6"/>
    <w:rPr>
      <w:rFonts w:ascii="Arial" w:hAnsi="Arial" w:cs="Arial" w:hint="default"/>
      <w:color w:val="0000FF"/>
      <w:u w:val="single"/>
    </w:rPr>
  </w:style>
  <w:style w:type="paragraph" w:styleId="a8">
    <w:name w:val="List Paragraph"/>
    <w:basedOn w:val="a"/>
    <w:uiPriority w:val="34"/>
    <w:qFormat/>
    <w:rsid w:val="00FE37B6"/>
    <w:pPr>
      <w:ind w:left="720"/>
      <w:contextualSpacing/>
    </w:pPr>
    <w:rPr>
      <w:szCs w:val="24"/>
    </w:rPr>
  </w:style>
  <w:style w:type="paragraph" w:styleId="a9">
    <w:name w:val="Revision"/>
    <w:hidden/>
    <w:uiPriority w:val="99"/>
    <w:semiHidden/>
    <w:rsid w:val="002E57DB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mac.m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beelei\AppData\Roaming\Microsoft\Templates\UM_Letter.dot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996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zh-TW" altLang="en-US" sz="1393" b="1" i="0" u="none" strike="noStrike" baseline="0">
                <a:solidFill>
                  <a:srgbClr val="000000"/>
                </a:solidFill>
                <a:latin typeface="新細明體"/>
                <a:ea typeface="新細明體"/>
              </a:rPr>
              <a:t>   圖 1: 本地生產總值</a:t>
            </a:r>
          </a:p>
          <a:p>
            <a:pPr>
              <a:defRPr sz="996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zh-TW" altLang="en-US" sz="1393" b="1" i="0" u="none" strike="noStrike" baseline="0">
                <a:solidFill>
                  <a:srgbClr val="000000"/>
                </a:solidFill>
                <a:latin typeface="新細明體"/>
                <a:ea typeface="新細明體"/>
              </a:rPr>
              <a:t>(億(2016)澳門元)</a:t>
            </a:r>
          </a:p>
        </c:rich>
      </c:tx>
      <c:layout>
        <c:manualLayout>
          <c:xMode val="edge"/>
          <c:yMode val="edge"/>
          <c:x val="0.34123032027803651"/>
          <c:y val="1.9021730739539913E-2"/>
        </c:manualLayout>
      </c:layout>
      <c:overlay val="0"/>
      <c:spPr>
        <a:noFill/>
        <a:ln w="25359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3247588424437297E-2"/>
          <c:y val="0.11464968152866242"/>
          <c:w val="0.87138263665594851"/>
          <c:h val="0.68800737224023467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本地生產總值</c:v>
                </c:pt>
              </c:strCache>
            </c:strRef>
          </c:tx>
          <c:spPr>
            <a:ln w="25359">
              <a:solidFill>
                <a:srgbClr val="000080"/>
              </a:solidFill>
              <a:prstDash val="solid"/>
            </a:ln>
          </c:spPr>
          <c:marker>
            <c:symbol val="none"/>
          </c:marker>
          <c:cat>
            <c:strRef>
              <c:f>Sheet1!$A$2:$A$22</c:f>
              <c:strCache>
                <c:ptCount val="21"/>
                <c:pt idx="0">
                  <c:v>2013年第1季</c:v>
                </c:pt>
                <c:pt idx="1">
                  <c:v>2013年第2季</c:v>
                </c:pt>
                <c:pt idx="2">
                  <c:v>2013年第3季</c:v>
                </c:pt>
                <c:pt idx="3">
                  <c:v>2013年第4季</c:v>
                </c:pt>
                <c:pt idx="4">
                  <c:v>2014年第1季</c:v>
                </c:pt>
                <c:pt idx="5">
                  <c:v>2014年第2季</c:v>
                </c:pt>
                <c:pt idx="6">
                  <c:v>2014年第3季</c:v>
                </c:pt>
                <c:pt idx="7">
                  <c:v>2014年第4季</c:v>
                </c:pt>
                <c:pt idx="8">
                  <c:v>2015年第1季</c:v>
                </c:pt>
                <c:pt idx="9">
                  <c:v>2015年第2季</c:v>
                </c:pt>
                <c:pt idx="10">
                  <c:v>2015年第3季</c:v>
                </c:pt>
                <c:pt idx="11">
                  <c:v>2015年第4季</c:v>
                </c:pt>
                <c:pt idx="12">
                  <c:v>2016年第1季</c:v>
                </c:pt>
                <c:pt idx="13">
                  <c:v>2016年第2季</c:v>
                </c:pt>
                <c:pt idx="14">
                  <c:v>2016年第3季</c:v>
                </c:pt>
                <c:pt idx="15">
                  <c:v>2016年第4季</c:v>
                </c:pt>
                <c:pt idx="16">
                  <c:v>2017年第1季</c:v>
                </c:pt>
                <c:pt idx="17">
                  <c:v>2017年第2季</c:v>
                </c:pt>
                <c:pt idx="18">
                  <c:v>2017年第3季</c:v>
                </c:pt>
                <c:pt idx="19">
                  <c:v>2017年第4季</c:v>
                </c:pt>
                <c:pt idx="20">
                  <c:v>2018年第1季</c:v>
                </c:pt>
              </c:strCache>
            </c:strRef>
          </c:cat>
          <c:val>
            <c:numRef>
              <c:f>Sheet1!$B$2:$B$22</c:f>
              <c:numCache>
                <c:formatCode>g/"通""用""格""式"</c:formatCode>
                <c:ptCount val="21"/>
                <c:pt idx="0">
                  <c:v>1108.46784</c:v>
                </c:pt>
                <c:pt idx="1">
                  <c:v>1130.0422799999999</c:v>
                </c:pt>
                <c:pt idx="2">
                  <c:v>1163.2987799999999</c:v>
                </c:pt>
                <c:pt idx="3">
                  <c:v>1315.4815800000001</c:v>
                </c:pt>
                <c:pt idx="4">
                  <c:v>1242.9139700000001</c:v>
                </c:pt>
                <c:pt idx="5">
                  <c:v>1194.5614</c:v>
                </c:pt>
                <c:pt idx="6">
                  <c:v>1120.3941500000001</c:v>
                </c:pt>
                <c:pt idx="7">
                  <c:v>1102.7621899999999</c:v>
                </c:pt>
                <c:pt idx="8">
                  <c:v>960.10417000000007</c:v>
                </c:pt>
                <c:pt idx="9">
                  <c:v>901.06572000000006</c:v>
                </c:pt>
                <c:pt idx="10">
                  <c:v>876.19275000000005</c:v>
                </c:pt>
                <c:pt idx="11">
                  <c:v>916.82970999999998</c:v>
                </c:pt>
                <c:pt idx="12">
                  <c:v>846.67507999999998</c:v>
                </c:pt>
                <c:pt idx="13">
                  <c:v>850.51326000000006</c:v>
                </c:pt>
                <c:pt idx="14">
                  <c:v>927.07398000000001</c:v>
                </c:pt>
                <c:pt idx="15">
                  <c:v>998.39161000000001</c:v>
                </c:pt>
                <c:pt idx="16">
                  <c:v>943.82586000000003</c:v>
                </c:pt>
                <c:pt idx="17">
                  <c:v>944.28989999999999</c:v>
                </c:pt>
                <c:pt idx="18">
                  <c:v>985.30371000000002</c:v>
                </c:pt>
                <c:pt idx="19">
                  <c:v>1078.75342</c:v>
                </c:pt>
                <c:pt idx="20">
                  <c:v>1030.6161500000001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7101-4763-9955-A673C6F88EE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03013184"/>
        <c:axId val="665464896"/>
      </c:lineChart>
      <c:catAx>
        <c:axId val="4030131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65">
            <a:solidFill>
              <a:srgbClr val="000000"/>
            </a:solidFill>
            <a:prstDash val="solid"/>
          </a:ln>
        </c:spPr>
        <c:txPr>
          <a:bodyPr rot="5400000" vert="horz"/>
          <a:lstStyle/>
          <a:p>
            <a:pPr>
              <a:defRPr sz="1098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zh-TW"/>
          </a:p>
        </c:txPr>
        <c:crossAx val="665464896"/>
        <c:crosses val="autoZero"/>
        <c:auto val="1"/>
        <c:lblAlgn val="ctr"/>
        <c:lblOffset val="100"/>
        <c:noMultiLvlLbl val="0"/>
      </c:catAx>
      <c:valAx>
        <c:axId val="665464896"/>
        <c:scaling>
          <c:orientation val="minMax"/>
          <c:max val="1400"/>
        </c:scaling>
        <c:delete val="0"/>
        <c:axPos val="l"/>
        <c:majorGridlines>
          <c:spPr>
            <a:ln w="3165">
              <a:solidFill>
                <a:srgbClr val="000000"/>
              </a:solidFill>
              <a:prstDash val="solid"/>
            </a:ln>
          </c:spPr>
        </c:majorGridlines>
        <c:numFmt formatCode="#,##0_);[Red]\(#,##0\)" sourceLinked="0"/>
        <c:majorTickMark val="none"/>
        <c:minorTickMark val="none"/>
        <c:tickLblPos val="nextTo"/>
        <c:spPr>
          <a:ln w="316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8" b="0" i="0" u="none" strike="noStrike" baseline="0">
                <a:solidFill>
                  <a:srgbClr val="000000"/>
                </a:solidFill>
                <a:latin typeface="Arial "/>
                <a:ea typeface="Arial "/>
                <a:cs typeface="Arial "/>
              </a:defRPr>
            </a:pPr>
            <a:endParaRPr lang="zh-TW"/>
          </a:p>
        </c:txPr>
        <c:crossAx val="403013184"/>
        <c:crosses val="autoZero"/>
        <c:crossBetween val="midCat"/>
        <c:majorUnit val="200"/>
      </c:valAx>
      <c:spPr>
        <a:solidFill>
          <a:srgbClr val="FFFFFF"/>
        </a:solidFill>
        <a:ln w="3165">
          <a:solidFill>
            <a:srgbClr val="00000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0">
      <a:solidFill>
        <a:srgbClr val="000000"/>
      </a:solidFill>
      <a:prstDash val="solid"/>
    </a:ln>
  </c:spPr>
  <c:txPr>
    <a:bodyPr/>
    <a:lstStyle/>
    <a:p>
      <a:pPr>
        <a:defRPr sz="998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zh-TW"/>
    </a:p>
  </c:txPr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996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zh-TW" altLang="en-US" sz="1393" b="1" i="0" u="none" strike="noStrike" baseline="0">
                <a:solidFill>
                  <a:srgbClr val="000000"/>
                </a:solidFill>
                <a:latin typeface="Calibri"/>
                <a:cs typeface="Calibri"/>
              </a:rPr>
              <a:t>  </a:t>
            </a:r>
            <a:r>
              <a:rPr lang="zh-TW" altLang="en-US" sz="1393" b="1" i="0" u="none" strike="noStrike" baseline="0">
                <a:solidFill>
                  <a:srgbClr val="000000"/>
                </a:solidFill>
                <a:latin typeface="新細明體"/>
                <a:ea typeface="新細明體"/>
                <a:cs typeface="Calibri"/>
              </a:rPr>
              <a:t> 圖 2: 本地生產總值</a:t>
            </a:r>
          </a:p>
          <a:p>
            <a:pPr>
              <a:defRPr sz="996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zh-TW" altLang="en-US" sz="1393" b="1" i="0" u="none" strike="noStrike" baseline="0">
                <a:solidFill>
                  <a:srgbClr val="000000"/>
                </a:solidFill>
                <a:latin typeface="新細明體"/>
                <a:ea typeface="新細明體"/>
                <a:cs typeface="Calibri"/>
              </a:rPr>
              <a:t>(與去年同期季度比較之實質增長率(%))</a:t>
            </a:r>
            <a:endParaRPr lang="zh-TW" altLang="en-US" sz="1395" b="1" i="0" u="none" strike="noStrike" baseline="0">
              <a:solidFill>
                <a:srgbClr val="000000"/>
              </a:solidFill>
              <a:latin typeface="新細明體"/>
              <a:ea typeface="新細明體"/>
            </a:endParaRPr>
          </a:p>
        </c:rich>
      </c:tx>
      <c:layout>
        <c:manualLayout>
          <c:xMode val="edge"/>
          <c:yMode val="edge"/>
          <c:x val="0.21656045013759387"/>
          <c:y val="1.9021515622649077E-2"/>
        </c:manualLayout>
      </c:layout>
      <c:overlay val="0"/>
      <c:spPr>
        <a:noFill/>
        <a:ln w="25359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7.4013157894736836E-2"/>
          <c:y val="0.12559618441971382"/>
          <c:w val="0.84464374337967862"/>
          <c:h val="0.8569157392686804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Sheet1!$B$23</c:f>
              <c:strCache>
                <c:ptCount val="1"/>
                <c:pt idx="0">
                  <c:v>本地生產總值</c:v>
                </c:pt>
              </c:strCache>
            </c:strRef>
          </c:tx>
          <c:spPr>
            <a:solidFill>
              <a:srgbClr val="3366FF"/>
            </a:solidFill>
            <a:ln w="1266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Sheet1!$A$24:$A$40</c:f>
              <c:strCache>
                <c:ptCount val="17"/>
                <c:pt idx="0">
                  <c:v>2014年第1季</c:v>
                </c:pt>
                <c:pt idx="1">
                  <c:v>2014年第2季</c:v>
                </c:pt>
                <c:pt idx="2">
                  <c:v>2014年第3季</c:v>
                </c:pt>
                <c:pt idx="3">
                  <c:v>2014年第4季</c:v>
                </c:pt>
                <c:pt idx="4">
                  <c:v>2015年第1季</c:v>
                </c:pt>
                <c:pt idx="5">
                  <c:v>2015年第2季</c:v>
                </c:pt>
                <c:pt idx="6">
                  <c:v>2015年第3季</c:v>
                </c:pt>
                <c:pt idx="7">
                  <c:v>2015年第4季</c:v>
                </c:pt>
                <c:pt idx="8">
                  <c:v>2016年第1季</c:v>
                </c:pt>
                <c:pt idx="9">
                  <c:v>2016年第2季</c:v>
                </c:pt>
                <c:pt idx="10">
                  <c:v>2016年第3季</c:v>
                </c:pt>
                <c:pt idx="11">
                  <c:v>2016年第4季</c:v>
                </c:pt>
                <c:pt idx="12">
                  <c:v>2017年第1季</c:v>
                </c:pt>
                <c:pt idx="13">
                  <c:v>2017年第2季</c:v>
                </c:pt>
                <c:pt idx="14">
                  <c:v>2017年第3季</c:v>
                </c:pt>
                <c:pt idx="15">
                  <c:v>2017年第4季</c:v>
                </c:pt>
                <c:pt idx="16">
                  <c:v>2018年第1季</c:v>
                </c:pt>
              </c:strCache>
            </c:strRef>
          </c:cat>
          <c:val>
            <c:numRef>
              <c:f>Sheet1!$B$24:$B$40</c:f>
              <c:numCache>
                <c:formatCode>g/"通""用""格""式"</c:formatCode>
                <c:ptCount val="17"/>
                <c:pt idx="0">
                  <c:v>12.129005925873315</c:v>
                </c:pt>
                <c:pt idx="1">
                  <c:v>5.7094430130525842</c:v>
                </c:pt>
                <c:pt idx="2">
                  <c:v>-3.6881866239041217</c:v>
                </c:pt>
                <c:pt idx="3">
                  <c:v>-16.170457514121949</c:v>
                </c:pt>
                <c:pt idx="4">
                  <c:v>-22.753771123837318</c:v>
                </c:pt>
                <c:pt idx="5">
                  <c:v>-24.569325611894033</c:v>
                </c:pt>
                <c:pt idx="6">
                  <c:v>-21.79602597889323</c:v>
                </c:pt>
                <c:pt idx="7">
                  <c:v>-16.860614345147251</c:v>
                </c:pt>
                <c:pt idx="8">
                  <c:v>-11.81424823933429</c:v>
                </c:pt>
                <c:pt idx="9">
                  <c:v>-5.6102966607141536</c:v>
                </c:pt>
                <c:pt idx="10">
                  <c:v>5.8070818321653395</c:v>
                </c:pt>
                <c:pt idx="11">
                  <c:v>8.8960795129555681</c:v>
                </c:pt>
                <c:pt idx="12">
                  <c:v>11.474387553723675</c:v>
                </c:pt>
                <c:pt idx="13">
                  <c:v>11.025888061992116</c:v>
                </c:pt>
                <c:pt idx="14">
                  <c:v>6.2810230096200126</c:v>
                </c:pt>
                <c:pt idx="15">
                  <c:v>8.0491271355936256</c:v>
                </c:pt>
                <c:pt idx="16">
                  <c:v>9.1955829648490592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9C8-43A1-BF15-02D47E31C8E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65465288"/>
        <c:axId val="665466072"/>
      </c:barChart>
      <c:catAx>
        <c:axId val="6654652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65">
            <a:solidFill>
              <a:srgbClr val="000000"/>
            </a:solidFill>
            <a:prstDash val="solid"/>
          </a:ln>
        </c:spPr>
        <c:txPr>
          <a:bodyPr rot="5400000" vert="horz"/>
          <a:lstStyle/>
          <a:p>
            <a:pPr>
              <a:defRPr sz="1098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zh-TW"/>
          </a:p>
        </c:txPr>
        <c:crossAx val="665466072"/>
        <c:crosses val="autoZero"/>
        <c:auto val="1"/>
        <c:lblAlgn val="ctr"/>
        <c:lblOffset val="100"/>
        <c:noMultiLvlLbl val="0"/>
      </c:catAx>
      <c:valAx>
        <c:axId val="665466072"/>
        <c:scaling>
          <c:orientation val="minMax"/>
          <c:max val="15"/>
          <c:min val="-25"/>
        </c:scaling>
        <c:delete val="0"/>
        <c:axPos val="l"/>
        <c:majorGridlines>
          <c:spPr>
            <a:ln w="3165">
              <a:solidFill>
                <a:srgbClr val="000000"/>
              </a:solidFill>
              <a:prstDash val="solid"/>
            </a:ln>
          </c:spPr>
        </c:majorGridlines>
        <c:numFmt formatCode="#,##0_ " sourceLinked="0"/>
        <c:majorTickMark val="none"/>
        <c:minorTickMark val="none"/>
        <c:tickLblPos val="nextTo"/>
        <c:spPr>
          <a:ln w="316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8" b="0" i="0" u="none" strike="noStrike" baseline="0">
                <a:solidFill>
                  <a:srgbClr val="000000"/>
                </a:solidFill>
                <a:latin typeface="Arial "/>
                <a:ea typeface="Arial "/>
                <a:cs typeface="Arial "/>
              </a:defRPr>
            </a:pPr>
            <a:endParaRPr lang="zh-TW"/>
          </a:p>
        </c:txPr>
        <c:crossAx val="665465288"/>
        <c:crosses val="autoZero"/>
        <c:crossBetween val="between"/>
        <c:majorUnit val="5"/>
      </c:valAx>
      <c:spPr>
        <a:solidFill>
          <a:srgbClr val="FFFFFF"/>
        </a:solidFill>
        <a:ln w="3165">
          <a:solidFill>
            <a:srgbClr val="00000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0">
      <a:solidFill>
        <a:srgbClr val="000000"/>
      </a:solidFill>
      <a:prstDash val="solid"/>
    </a:ln>
  </c:spPr>
  <c:txPr>
    <a:bodyPr/>
    <a:lstStyle/>
    <a:p>
      <a:pPr>
        <a:defRPr sz="998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zh-TW"/>
    </a:p>
  </c:txPr>
  <c:externalData r:id="rId2">
    <c:autoUpdate val="0"/>
  </c:externalData>
  <c:userShapes r:id="rId3"/>
</c:chartSpac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1</cdr:x>
      <cdr:y>1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6000000" cy="5000000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1</cdr:x>
      <cdr:y>1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6000000" cy="6076191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9D652-2143-4BD8-BB11-3902900FC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UM_Letter</Template>
  <TotalTime>1</TotalTime>
  <Pages>6</Pages>
  <Words>3006</Words>
  <Characters>1923</Characters>
  <Application>Microsoft Office Word</Application>
  <DocSecurity>0</DocSecurity>
  <Lines>16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Apple Shop</Company>
  <LinksUpToDate>false</LinksUpToDate>
  <CharactersWithSpaces>4920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plslam</dc:creator>
  <cp:lastModifiedBy>costau</cp:lastModifiedBy>
  <cp:revision>3</cp:revision>
  <cp:lastPrinted>2011-07-15T09:14:00Z</cp:lastPrinted>
  <dcterms:created xsi:type="dcterms:W3CDTF">2018-09-26T06:48:00Z</dcterms:created>
  <dcterms:modified xsi:type="dcterms:W3CDTF">2018-09-26T06:49:00Z</dcterms:modified>
</cp:coreProperties>
</file>