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5E" w:rsidRPr="00610DED" w:rsidRDefault="00E1556B" w:rsidP="00E1556B">
      <w:pPr>
        <w:jc w:val="center"/>
        <w:rPr>
          <w:rFonts w:ascii="Candara" w:eastAsia="華康儷楷書" w:hAnsi="Candara" w:cs="Times New Roman"/>
          <w:b/>
          <w:color w:val="000000" w:themeColor="text1"/>
          <w:sz w:val="28"/>
          <w:szCs w:val="28"/>
        </w:rPr>
      </w:pPr>
      <w:r w:rsidRPr="00610DED">
        <w:rPr>
          <w:rFonts w:ascii="Candara" w:eastAsia="華康儷楷書" w:hAnsi="Candara" w:cs="Times New Roman"/>
          <w:b/>
          <w:color w:val="000000" w:themeColor="text1"/>
          <w:sz w:val="28"/>
          <w:szCs w:val="28"/>
        </w:rPr>
        <w:t>中院維持特首宣告</w:t>
      </w:r>
      <w:r w:rsidR="00912798" w:rsidRPr="00610DED">
        <w:rPr>
          <w:rFonts w:ascii="Candara" w:eastAsia="華康儷楷書" w:hAnsi="Candara" w:cs="Times New Roman"/>
          <w:b/>
          <w:bCs/>
          <w:color w:val="000000" w:themeColor="text1"/>
          <w:kern w:val="36"/>
          <w:sz w:val="28"/>
          <w:szCs w:val="28"/>
        </w:rPr>
        <w:t>外港</w:t>
      </w:r>
      <w:r w:rsidRPr="00610DED">
        <w:rPr>
          <w:rFonts w:ascii="Candara" w:eastAsia="華康儷楷書" w:hAnsi="Candara" w:cs="Times New Roman"/>
          <w:b/>
          <w:bCs/>
          <w:color w:val="000000" w:themeColor="text1"/>
          <w:kern w:val="36"/>
          <w:sz w:val="28"/>
          <w:szCs w:val="28"/>
        </w:rPr>
        <w:t>填海區某地段批地失效的決定</w:t>
      </w:r>
    </w:p>
    <w:p w:rsidR="00E1556B" w:rsidRPr="00610DED" w:rsidRDefault="00E1556B" w:rsidP="008C2B5E">
      <w:pPr>
        <w:jc w:val="both"/>
        <w:rPr>
          <w:rFonts w:ascii="Candara" w:eastAsia="華康儷楷書" w:hAnsi="Candara" w:cs="Times New Roman"/>
          <w:color w:val="000000" w:themeColor="text1"/>
          <w:sz w:val="26"/>
          <w:szCs w:val="26"/>
        </w:rPr>
      </w:pPr>
    </w:p>
    <w:p w:rsidR="00E1556B" w:rsidRPr="00610DED" w:rsidRDefault="00912798" w:rsidP="00E1556B">
      <w:pPr>
        <w:ind w:firstLineChars="200" w:firstLine="520"/>
        <w:jc w:val="both"/>
        <w:rPr>
          <w:rFonts w:ascii="Candara" w:eastAsia="華康儷楷書" w:hAnsi="Candara" w:cs="Times New Roman"/>
          <w:color w:val="000000" w:themeColor="text1"/>
          <w:sz w:val="26"/>
          <w:szCs w:val="26"/>
        </w:rPr>
      </w:pPr>
      <w:r w:rsidRPr="00610DED">
        <w:rPr>
          <w:rFonts w:ascii="Candara" w:eastAsia="華康儷楷書" w:hAnsi="Candara" w:cs="Times New Roman"/>
          <w:color w:val="000000" w:themeColor="text1"/>
          <w:sz w:val="26"/>
          <w:szCs w:val="26"/>
        </w:rPr>
        <w:t>澳門外港</w:t>
      </w:r>
      <w:r w:rsidR="008C2B5E" w:rsidRPr="00610DED">
        <w:rPr>
          <w:rFonts w:ascii="Candara" w:eastAsia="華康儷楷書" w:hAnsi="Candara" w:cs="Times New Roman"/>
          <w:color w:val="000000" w:themeColor="text1"/>
          <w:sz w:val="26"/>
          <w:szCs w:val="26"/>
        </w:rPr>
        <w:t>填海區</w:t>
      </w:r>
      <w:r w:rsidR="005B6126" w:rsidRPr="00610DED">
        <w:rPr>
          <w:rFonts w:ascii="Candara" w:eastAsia="華康儷楷書" w:hAnsi="Candara"/>
          <w:color w:val="000000" w:themeColor="text1"/>
          <w:sz w:val="26"/>
          <w:szCs w:val="26"/>
        </w:rPr>
        <w:t>6</w:t>
      </w:r>
      <w:r w:rsidR="005B6126" w:rsidRPr="00610DED">
        <w:rPr>
          <w:rFonts w:ascii="Candara" w:eastAsia="華康儷楷書" w:hAnsi="Candara"/>
          <w:color w:val="000000" w:themeColor="text1"/>
          <w:sz w:val="26"/>
          <w:szCs w:val="26"/>
        </w:rPr>
        <w:t>街區</w:t>
      </w:r>
      <w:r w:rsidR="005B6126" w:rsidRPr="00610DED">
        <w:rPr>
          <w:rFonts w:ascii="Candara" w:eastAsia="華康儷楷書" w:hAnsi="Candara"/>
          <w:color w:val="000000" w:themeColor="text1"/>
          <w:sz w:val="26"/>
          <w:szCs w:val="26"/>
        </w:rPr>
        <w:t xml:space="preserve">b </w:t>
      </w:r>
      <w:r w:rsidR="005B6126" w:rsidRPr="00610DED">
        <w:rPr>
          <w:rFonts w:ascii="Candara" w:eastAsia="華康儷楷書" w:hAnsi="Candara"/>
          <w:color w:val="000000" w:themeColor="text1"/>
          <w:sz w:val="26"/>
          <w:szCs w:val="26"/>
        </w:rPr>
        <w:t>地</w:t>
      </w:r>
      <w:r w:rsidR="005B6126" w:rsidRPr="00610DED">
        <w:rPr>
          <w:rFonts w:ascii="Candara" w:eastAsia="華康儷楷書" w:hAnsi="Candara" w:cs="新細明體"/>
          <w:color w:val="000000" w:themeColor="text1"/>
          <w:sz w:val="26"/>
          <w:szCs w:val="26"/>
        </w:rPr>
        <w:t>段</w:t>
      </w:r>
      <w:proofErr w:type="gramStart"/>
      <w:r w:rsidR="008C2B5E" w:rsidRPr="00610DED">
        <w:rPr>
          <w:rFonts w:ascii="Candara" w:eastAsia="華康儷楷書" w:hAnsi="Candara" w:cs="Times New Roman"/>
          <w:color w:val="000000" w:themeColor="text1"/>
          <w:sz w:val="26"/>
          <w:szCs w:val="26"/>
        </w:rPr>
        <w:t>的承批人</w:t>
      </w:r>
      <w:proofErr w:type="gramEnd"/>
      <w:r w:rsidRPr="00610DED">
        <w:rPr>
          <w:rFonts w:ascii="Candara" w:eastAsia="華康儷楷書" w:hAnsi="Candara" w:cs="Arial"/>
          <w:color w:val="000000" w:themeColor="text1"/>
          <w:sz w:val="26"/>
          <w:szCs w:val="26"/>
          <w:shd w:val="clear" w:color="auto" w:fill="FFFFFF"/>
        </w:rPr>
        <w:t>澳門旅遊娛樂股份有限公</w:t>
      </w:r>
      <w:r w:rsidRPr="00610DED">
        <w:rPr>
          <w:rFonts w:ascii="Candara" w:eastAsia="華康儷楷書" w:hAnsi="Candara" w:cs="細明體"/>
          <w:color w:val="000000" w:themeColor="text1"/>
          <w:sz w:val="26"/>
          <w:szCs w:val="26"/>
          <w:shd w:val="clear" w:color="auto" w:fill="FFFFFF"/>
        </w:rPr>
        <w:t>司</w:t>
      </w:r>
      <w:r w:rsidR="008C2B5E" w:rsidRPr="00610DED">
        <w:rPr>
          <w:rFonts w:ascii="Candara" w:eastAsia="華康儷楷書" w:hAnsi="Candara" w:cs="Times New Roman"/>
          <w:color w:val="000000" w:themeColor="text1"/>
          <w:sz w:val="26"/>
          <w:szCs w:val="26"/>
        </w:rPr>
        <w:t>不服特首通過</w:t>
      </w:r>
      <w:r w:rsidR="008C2B5E" w:rsidRPr="00610DED">
        <w:rPr>
          <w:rFonts w:ascii="Candara" w:eastAsia="華康儷楷書" w:hAnsi="Candara" w:cs="Times New Roman"/>
          <w:color w:val="000000" w:themeColor="text1"/>
          <w:sz w:val="26"/>
          <w:szCs w:val="26"/>
        </w:rPr>
        <w:t>2016</w:t>
      </w:r>
      <w:r w:rsidR="008C2B5E" w:rsidRPr="00610DED">
        <w:rPr>
          <w:rFonts w:ascii="Candara" w:eastAsia="華康儷楷書" w:hAnsi="Candara" w:cs="Times New Roman"/>
          <w:color w:val="000000" w:themeColor="text1"/>
          <w:sz w:val="26"/>
          <w:szCs w:val="26"/>
          <w:lang w:val="pt-PT"/>
        </w:rPr>
        <w:t>年</w:t>
      </w:r>
      <w:r w:rsidRPr="00610DED">
        <w:rPr>
          <w:rFonts w:ascii="Candara" w:eastAsia="華康儷楷書" w:hAnsi="Candara" w:cs="Times New Roman"/>
          <w:color w:val="000000" w:themeColor="text1"/>
          <w:sz w:val="26"/>
          <w:szCs w:val="26"/>
        </w:rPr>
        <w:t>11</w:t>
      </w:r>
      <w:r w:rsidRPr="00610DED">
        <w:rPr>
          <w:rFonts w:ascii="Candara" w:eastAsia="華康儷楷書" w:hAnsi="Candara" w:cs="Times New Roman"/>
          <w:color w:val="000000" w:themeColor="text1"/>
          <w:sz w:val="26"/>
          <w:szCs w:val="26"/>
        </w:rPr>
        <w:t>月</w:t>
      </w:r>
      <w:r w:rsidRPr="00610DED">
        <w:rPr>
          <w:rFonts w:ascii="Candara" w:eastAsia="華康儷楷書" w:hAnsi="Candara" w:cs="Times New Roman"/>
          <w:color w:val="000000" w:themeColor="text1"/>
          <w:sz w:val="26"/>
          <w:szCs w:val="26"/>
        </w:rPr>
        <w:t>8</w:t>
      </w:r>
      <w:r w:rsidR="008C2B5E" w:rsidRPr="00610DED">
        <w:rPr>
          <w:rFonts w:ascii="Candara" w:eastAsia="華康儷楷書" w:hAnsi="Candara" w:cs="Times New Roman"/>
          <w:color w:val="000000" w:themeColor="text1"/>
          <w:sz w:val="26"/>
          <w:szCs w:val="26"/>
          <w:lang w:val="pt-PT"/>
        </w:rPr>
        <w:t>日的</w:t>
      </w:r>
      <w:r w:rsidR="008C2B5E" w:rsidRPr="00610DED">
        <w:rPr>
          <w:rFonts w:ascii="Candara" w:eastAsia="華康儷楷書" w:hAnsi="Candara" w:cs="Times New Roman"/>
          <w:color w:val="000000" w:themeColor="text1"/>
          <w:sz w:val="26"/>
          <w:szCs w:val="26"/>
        </w:rPr>
        <w:t>批示宣</w:t>
      </w:r>
      <w:r w:rsidR="00F06A1E" w:rsidRPr="00610DED">
        <w:rPr>
          <w:rFonts w:ascii="Candara" w:eastAsia="華康儷楷書" w:hAnsi="Candara" w:cs="Times New Roman"/>
          <w:color w:val="000000" w:themeColor="text1"/>
          <w:sz w:val="26"/>
          <w:szCs w:val="26"/>
        </w:rPr>
        <w:t>告</w:t>
      </w:r>
      <w:r w:rsidR="005B6126" w:rsidRPr="00610DED">
        <w:rPr>
          <w:rFonts w:ascii="Candara" w:eastAsia="華康儷楷書" w:hAnsi="Candara" w:cs="Times New Roman"/>
          <w:color w:val="000000" w:themeColor="text1"/>
          <w:sz w:val="26"/>
          <w:szCs w:val="26"/>
        </w:rPr>
        <w:t>該土地的批給合同失效，向中院提起</w:t>
      </w:r>
      <w:r w:rsidR="008C2B5E" w:rsidRPr="00610DED">
        <w:rPr>
          <w:rFonts w:ascii="Candara" w:eastAsia="華康儷楷書" w:hAnsi="Candara" w:cs="Times New Roman"/>
          <w:color w:val="000000" w:themeColor="text1"/>
          <w:sz w:val="26"/>
          <w:szCs w:val="26"/>
        </w:rPr>
        <w:t>司法上訴</w:t>
      </w:r>
      <w:r w:rsidR="008C2B5E" w:rsidRPr="00FF333C">
        <w:rPr>
          <w:rFonts w:ascii="Candara" w:eastAsia="華康儷楷書" w:hAnsi="Candara" w:cs="Times New Roman"/>
          <w:color w:val="000000" w:themeColor="text1"/>
          <w:sz w:val="26"/>
          <w:szCs w:val="26"/>
        </w:rPr>
        <w:t>，指被上訴行為存在以下瑕疵：</w:t>
      </w:r>
      <w:r w:rsidR="008C2B5E" w:rsidRPr="00FF333C">
        <w:rPr>
          <w:rFonts w:ascii="Candara" w:eastAsia="華康儷楷書" w:hAnsi="Candara" w:cs="Times New Roman"/>
          <w:color w:val="000000" w:themeColor="text1"/>
          <w:sz w:val="26"/>
          <w:szCs w:val="26"/>
        </w:rPr>
        <w:t>a)</w:t>
      </w:r>
      <w:r w:rsidR="00E1556B" w:rsidRPr="00FF333C">
        <w:rPr>
          <w:rFonts w:ascii="Candara" w:eastAsia="華康儷楷書" w:hAnsi="Candara" w:cs="Times New Roman"/>
          <w:color w:val="000000" w:themeColor="text1"/>
          <w:sz w:val="26"/>
          <w:szCs w:val="26"/>
        </w:rPr>
        <w:t xml:space="preserve"> </w:t>
      </w:r>
      <w:r w:rsidRPr="00FF333C">
        <w:rPr>
          <w:rFonts w:ascii="Candara" w:eastAsia="華康儷楷書" w:hAnsi="Candara" w:cs="Times New Roman"/>
          <w:color w:val="000000" w:themeColor="text1"/>
          <w:sz w:val="26"/>
          <w:szCs w:val="26"/>
        </w:rPr>
        <w:t>合同的不履行</w:t>
      </w:r>
      <w:r w:rsidR="005B6126" w:rsidRPr="00FF333C">
        <w:rPr>
          <w:rFonts w:ascii="Candara" w:eastAsia="華康儷楷書" w:hAnsi="Candara" w:cs="Times New Roman"/>
          <w:color w:val="000000" w:themeColor="text1"/>
          <w:sz w:val="26"/>
          <w:szCs w:val="26"/>
        </w:rPr>
        <w:t>不具</w:t>
      </w:r>
      <w:r w:rsidRPr="00FF333C">
        <w:rPr>
          <w:rFonts w:ascii="Candara" w:eastAsia="華康儷楷書" w:hAnsi="Candara" w:cs="Times New Roman"/>
          <w:color w:val="000000" w:themeColor="text1"/>
          <w:sz w:val="26"/>
          <w:szCs w:val="26"/>
        </w:rPr>
        <w:t>可歸責性</w:t>
      </w:r>
      <w:r w:rsidR="008C2B5E" w:rsidRPr="00FF333C">
        <w:rPr>
          <w:rFonts w:ascii="Candara" w:eastAsia="華康儷楷書" w:hAnsi="Candara" w:cs="Times New Roman"/>
          <w:color w:val="000000" w:themeColor="text1"/>
          <w:sz w:val="26"/>
          <w:szCs w:val="26"/>
        </w:rPr>
        <w:t>；</w:t>
      </w:r>
      <w:r w:rsidR="008C2B5E" w:rsidRPr="00FF333C">
        <w:rPr>
          <w:rFonts w:ascii="Candara" w:eastAsia="華康儷楷書" w:hAnsi="Candara" w:cs="Times New Roman"/>
          <w:color w:val="000000" w:themeColor="text1"/>
          <w:sz w:val="26"/>
          <w:szCs w:val="26"/>
        </w:rPr>
        <w:t xml:space="preserve">b) </w:t>
      </w:r>
      <w:r w:rsidRPr="00FF333C">
        <w:rPr>
          <w:rFonts w:ascii="Candara" w:eastAsia="華康儷楷書" w:hAnsi="Candara" w:cs="Times New Roman"/>
          <w:color w:val="000000" w:themeColor="text1"/>
          <w:sz w:val="26"/>
          <w:szCs w:val="26"/>
        </w:rPr>
        <w:t>違反</w:t>
      </w:r>
      <w:r w:rsidR="00FF333C" w:rsidRPr="00FF333C">
        <w:rPr>
          <w:rFonts w:ascii="Candara" w:eastAsia="華康儷楷書" w:hAnsi="Candara" w:cs="Times New Roman"/>
          <w:color w:val="000000" w:themeColor="text1"/>
          <w:sz w:val="26"/>
          <w:szCs w:val="26"/>
        </w:rPr>
        <w:t>公平、</w:t>
      </w:r>
      <w:r w:rsidRPr="00FF333C">
        <w:rPr>
          <w:rFonts w:ascii="Candara" w:eastAsia="華康儷楷書" w:hAnsi="Candara" w:cs="Times New Roman"/>
          <w:color w:val="000000" w:themeColor="text1"/>
          <w:sz w:val="26"/>
          <w:szCs w:val="26"/>
        </w:rPr>
        <w:t>善意及保護信任原則</w:t>
      </w:r>
      <w:r w:rsidR="008C2B5E" w:rsidRPr="00FF333C">
        <w:rPr>
          <w:rFonts w:ascii="Candara" w:eastAsia="華康儷楷書" w:hAnsi="Candara" w:cs="Times New Roman"/>
          <w:color w:val="000000" w:themeColor="text1"/>
          <w:sz w:val="26"/>
          <w:szCs w:val="26"/>
        </w:rPr>
        <w:t>；</w:t>
      </w:r>
      <w:r w:rsidR="008C2B5E" w:rsidRPr="00FF333C">
        <w:rPr>
          <w:rFonts w:ascii="Candara" w:eastAsia="華康儷楷書" w:hAnsi="Candara" w:cs="Times New Roman"/>
          <w:color w:val="000000" w:themeColor="text1"/>
          <w:sz w:val="26"/>
          <w:szCs w:val="26"/>
        </w:rPr>
        <w:t xml:space="preserve">c) </w:t>
      </w:r>
      <w:r w:rsidR="008C2B5E" w:rsidRPr="00FF333C">
        <w:rPr>
          <w:rFonts w:ascii="Candara" w:eastAsia="華康儷楷書" w:hAnsi="Candara" w:cs="Times New Roman"/>
          <w:color w:val="000000" w:themeColor="text1"/>
          <w:sz w:val="26"/>
          <w:szCs w:val="26"/>
        </w:rPr>
        <w:t>欠缺事先聽證</w:t>
      </w:r>
      <w:r w:rsidRPr="00FF333C">
        <w:rPr>
          <w:rFonts w:ascii="Candara" w:eastAsia="華康儷楷書" w:hAnsi="Candara" w:cs="Times New Roman"/>
          <w:color w:val="000000" w:themeColor="text1"/>
          <w:sz w:val="26"/>
          <w:szCs w:val="26"/>
        </w:rPr>
        <w:t>。</w:t>
      </w:r>
    </w:p>
    <w:p w:rsidR="00E1556B" w:rsidRPr="00610DED" w:rsidRDefault="00E1556B" w:rsidP="00E1556B">
      <w:pPr>
        <w:ind w:firstLineChars="200" w:firstLine="520"/>
        <w:jc w:val="both"/>
        <w:rPr>
          <w:rFonts w:ascii="Candara" w:eastAsia="華康儷楷書" w:hAnsi="Candara" w:cs="Times New Roman"/>
          <w:color w:val="000000" w:themeColor="text1"/>
          <w:sz w:val="26"/>
          <w:szCs w:val="26"/>
        </w:rPr>
      </w:pPr>
    </w:p>
    <w:p w:rsidR="00E1556B" w:rsidRPr="00610DED" w:rsidRDefault="008C2B5E" w:rsidP="00E1556B">
      <w:pPr>
        <w:ind w:firstLineChars="200" w:firstLine="520"/>
        <w:jc w:val="both"/>
        <w:rPr>
          <w:rFonts w:ascii="Candara" w:eastAsia="華康儷楷書" w:hAnsi="Candara" w:cs="Times New Roman"/>
          <w:color w:val="000000" w:themeColor="text1"/>
          <w:sz w:val="26"/>
          <w:szCs w:val="26"/>
        </w:rPr>
      </w:pPr>
      <w:r w:rsidRPr="00610DED">
        <w:rPr>
          <w:rFonts w:ascii="Candara" w:eastAsia="華康儷楷書" w:hAnsi="Candara" w:cs="Times New Roman"/>
          <w:color w:val="000000" w:themeColor="text1"/>
          <w:sz w:val="26"/>
          <w:szCs w:val="26"/>
        </w:rPr>
        <w:t>中級法院對案件作出審理，相關理由綜述如下：</w:t>
      </w:r>
    </w:p>
    <w:p w:rsidR="00E1556B" w:rsidRPr="00610DED" w:rsidRDefault="00E1556B" w:rsidP="00E1556B">
      <w:pPr>
        <w:ind w:firstLineChars="200" w:firstLine="520"/>
        <w:jc w:val="both"/>
        <w:rPr>
          <w:rFonts w:ascii="Candara" w:eastAsia="華康儷楷書" w:hAnsi="Candara" w:cs="Times New Roman"/>
          <w:color w:val="000000" w:themeColor="text1"/>
          <w:sz w:val="26"/>
          <w:szCs w:val="26"/>
        </w:rPr>
      </w:pPr>
    </w:p>
    <w:p w:rsidR="00E1556B" w:rsidRPr="00610DED" w:rsidRDefault="008C2B5E" w:rsidP="00E1556B">
      <w:pPr>
        <w:ind w:firstLineChars="200" w:firstLine="521"/>
        <w:jc w:val="both"/>
        <w:rPr>
          <w:rStyle w:val="a3"/>
          <w:rFonts w:ascii="Candara" w:eastAsia="華康儷楷書" w:hAnsi="Candara" w:cs="Times New Roman"/>
          <w:b w:val="0"/>
          <w:bCs w:val="0"/>
          <w:color w:val="000000" w:themeColor="text1"/>
          <w:sz w:val="26"/>
          <w:szCs w:val="26"/>
        </w:rPr>
      </w:pPr>
      <w:r w:rsidRPr="00610DED">
        <w:rPr>
          <w:rStyle w:val="a3"/>
          <w:rFonts w:ascii="Candara" w:eastAsia="華康儷楷書" w:hAnsi="Candara" w:cs="Times New Roman"/>
          <w:color w:val="000000" w:themeColor="text1"/>
          <w:sz w:val="26"/>
          <w:szCs w:val="26"/>
        </w:rPr>
        <w:t>關於</w:t>
      </w:r>
      <w:r w:rsidR="00912798" w:rsidRPr="00610DED">
        <w:rPr>
          <w:rFonts w:ascii="Candara" w:eastAsia="華康儷楷書" w:hAnsi="Candara" w:cs="Times New Roman"/>
          <w:b/>
          <w:color w:val="000000" w:themeColor="text1"/>
          <w:sz w:val="26"/>
          <w:szCs w:val="26"/>
        </w:rPr>
        <w:t>合同的不履行不</w:t>
      </w:r>
      <w:r w:rsidR="005B6126" w:rsidRPr="00610DED">
        <w:rPr>
          <w:rFonts w:ascii="Candara" w:eastAsia="華康儷楷書" w:hAnsi="Candara" w:cs="Times New Roman"/>
          <w:b/>
          <w:color w:val="000000" w:themeColor="text1"/>
          <w:sz w:val="26"/>
          <w:szCs w:val="26"/>
        </w:rPr>
        <w:t>具</w:t>
      </w:r>
      <w:r w:rsidR="00912798" w:rsidRPr="00610DED">
        <w:rPr>
          <w:rFonts w:ascii="Candara" w:eastAsia="華康儷楷書" w:hAnsi="Candara" w:cs="Times New Roman"/>
          <w:b/>
          <w:color w:val="000000" w:themeColor="text1"/>
          <w:sz w:val="26"/>
          <w:szCs w:val="26"/>
        </w:rPr>
        <w:t>可歸責性</w:t>
      </w:r>
    </w:p>
    <w:p w:rsidR="00CE68AA" w:rsidRPr="00610DED" w:rsidRDefault="00CE68AA" w:rsidP="00E1556B">
      <w:pPr>
        <w:ind w:firstLineChars="200" w:firstLine="520"/>
        <w:jc w:val="both"/>
        <w:rPr>
          <w:rStyle w:val="a3"/>
          <w:rFonts w:ascii="Candara" w:eastAsia="華康儷楷書" w:hAnsi="Candara" w:cs="Times New Roman"/>
          <w:b w:val="0"/>
          <w:bCs w:val="0"/>
          <w:color w:val="000000" w:themeColor="text1"/>
          <w:sz w:val="26"/>
          <w:szCs w:val="26"/>
        </w:rPr>
      </w:pPr>
    </w:p>
    <w:p w:rsidR="00912798" w:rsidRPr="00610DED" w:rsidRDefault="00912798" w:rsidP="00E1556B">
      <w:pPr>
        <w:ind w:firstLineChars="200" w:firstLine="520"/>
        <w:jc w:val="both"/>
        <w:rPr>
          <w:rFonts w:ascii="Candara" w:eastAsia="華康儷楷書" w:hAnsi="Candara"/>
          <w:color w:val="000000" w:themeColor="text1"/>
          <w:sz w:val="26"/>
          <w:szCs w:val="26"/>
        </w:rPr>
      </w:pPr>
      <w:r w:rsidRPr="00610DED">
        <w:rPr>
          <w:rStyle w:val="a3"/>
          <w:rFonts w:ascii="Candara" w:eastAsia="華康儷楷書" w:hAnsi="Candara" w:cs="Times New Roman"/>
          <w:b w:val="0"/>
          <w:bCs w:val="0"/>
          <w:color w:val="000000" w:themeColor="text1"/>
          <w:sz w:val="26"/>
          <w:szCs w:val="26"/>
        </w:rPr>
        <w:t>合議庭</w:t>
      </w:r>
      <w:r w:rsidR="0098142A" w:rsidRPr="00610DED">
        <w:rPr>
          <w:rStyle w:val="a3"/>
          <w:rFonts w:ascii="Candara" w:eastAsia="華康儷楷書" w:hAnsi="Candara" w:cs="Times New Roman"/>
          <w:b w:val="0"/>
          <w:bCs w:val="0"/>
          <w:color w:val="000000" w:themeColor="text1"/>
          <w:sz w:val="26"/>
          <w:szCs w:val="26"/>
        </w:rPr>
        <w:t>指出，</w:t>
      </w:r>
      <w:r w:rsidRPr="00610DED">
        <w:rPr>
          <w:rFonts w:ascii="Candara" w:eastAsia="華康儷楷書" w:hAnsi="Candara"/>
          <w:color w:val="000000" w:themeColor="text1"/>
          <w:sz w:val="26"/>
          <w:szCs w:val="26"/>
        </w:rPr>
        <w:t>本案適用新《土地法》。新法規定了兩種宣告城市土地批給失效的情況，分別是：未在規定的期間內完成土地利用</w:t>
      </w:r>
      <w:r w:rsidRPr="00610DED">
        <w:rPr>
          <w:rFonts w:ascii="Candara" w:eastAsia="華康儷楷書" w:hAnsi="Candara"/>
          <w:color w:val="000000" w:themeColor="text1"/>
          <w:sz w:val="26"/>
          <w:szCs w:val="26"/>
        </w:rPr>
        <w:t>(</w:t>
      </w:r>
      <w:r w:rsidRPr="00610DED">
        <w:rPr>
          <w:rFonts w:ascii="Candara" w:eastAsia="華康儷楷書" w:hAnsi="Candara"/>
          <w:color w:val="000000" w:themeColor="text1"/>
          <w:sz w:val="26"/>
          <w:szCs w:val="26"/>
        </w:rPr>
        <w:t>第</w:t>
      </w:r>
      <w:r w:rsidRPr="00610DED">
        <w:rPr>
          <w:rFonts w:ascii="Candara" w:eastAsia="華康儷楷書" w:hAnsi="Candara"/>
          <w:color w:val="000000" w:themeColor="text1"/>
          <w:sz w:val="26"/>
          <w:szCs w:val="26"/>
        </w:rPr>
        <w:t>10/2013</w:t>
      </w:r>
      <w:r w:rsidRPr="00610DED">
        <w:rPr>
          <w:rFonts w:ascii="Candara" w:eastAsia="華康儷楷書" w:hAnsi="Candara"/>
          <w:color w:val="000000" w:themeColor="text1"/>
          <w:sz w:val="26"/>
          <w:szCs w:val="26"/>
        </w:rPr>
        <w:t>號法律第</w:t>
      </w:r>
      <w:r w:rsidRPr="00610DED">
        <w:rPr>
          <w:rFonts w:ascii="Candara" w:eastAsia="華康儷楷書" w:hAnsi="Candara"/>
          <w:color w:val="000000" w:themeColor="text1"/>
          <w:sz w:val="26"/>
          <w:szCs w:val="26"/>
        </w:rPr>
        <w:t>166</w:t>
      </w:r>
      <w:r w:rsidRPr="00610DED">
        <w:rPr>
          <w:rFonts w:ascii="Candara" w:eastAsia="華康儷楷書" w:hAnsi="Candara"/>
          <w:color w:val="000000" w:themeColor="text1"/>
          <w:sz w:val="26"/>
          <w:szCs w:val="26"/>
        </w:rPr>
        <w:t>條</w:t>
      </w:r>
      <w:r w:rsidRPr="00610DED">
        <w:rPr>
          <w:rFonts w:ascii="Candara" w:eastAsia="華康儷楷書" w:hAnsi="Candara"/>
          <w:color w:val="000000" w:themeColor="text1"/>
          <w:sz w:val="26"/>
          <w:szCs w:val="26"/>
        </w:rPr>
        <w:t>)</w:t>
      </w:r>
      <w:r w:rsidRPr="00610DED">
        <w:rPr>
          <w:rFonts w:ascii="Candara" w:eastAsia="華康儷楷書" w:hAnsi="Candara"/>
          <w:color w:val="000000" w:themeColor="text1"/>
          <w:sz w:val="26"/>
          <w:szCs w:val="26"/>
        </w:rPr>
        <w:t>和臨時批給期間屆滿而批給未轉為確定</w:t>
      </w:r>
      <w:r w:rsidRPr="00610DED">
        <w:rPr>
          <w:rFonts w:ascii="Candara" w:eastAsia="華康儷楷書" w:hAnsi="Candara"/>
          <w:color w:val="000000" w:themeColor="text1"/>
          <w:sz w:val="26"/>
          <w:szCs w:val="26"/>
        </w:rPr>
        <w:t>(</w:t>
      </w:r>
      <w:r w:rsidRPr="00610DED">
        <w:rPr>
          <w:rFonts w:ascii="Candara" w:eastAsia="華康儷楷書" w:hAnsi="Candara"/>
          <w:color w:val="000000" w:themeColor="text1"/>
          <w:sz w:val="26"/>
          <w:szCs w:val="26"/>
        </w:rPr>
        <w:t>第</w:t>
      </w:r>
      <w:r w:rsidRPr="00610DED">
        <w:rPr>
          <w:rFonts w:ascii="Candara" w:eastAsia="華康儷楷書" w:hAnsi="Candara"/>
          <w:color w:val="000000" w:themeColor="text1"/>
          <w:sz w:val="26"/>
          <w:szCs w:val="26"/>
        </w:rPr>
        <w:t>10/2013</w:t>
      </w:r>
      <w:r w:rsidRPr="00610DED">
        <w:rPr>
          <w:rFonts w:ascii="Candara" w:eastAsia="華康儷楷書" w:hAnsi="Candara"/>
          <w:color w:val="000000" w:themeColor="text1"/>
          <w:sz w:val="26"/>
          <w:szCs w:val="26"/>
        </w:rPr>
        <w:t>號法律</w:t>
      </w:r>
      <w:bookmarkStart w:id="0" w:name="_GoBack"/>
      <w:bookmarkEnd w:id="0"/>
      <w:r w:rsidRPr="00610DED">
        <w:rPr>
          <w:rFonts w:ascii="Candara" w:eastAsia="華康儷楷書" w:hAnsi="Candara"/>
          <w:color w:val="000000" w:themeColor="text1"/>
          <w:sz w:val="26"/>
          <w:szCs w:val="26"/>
        </w:rPr>
        <w:t>第</w:t>
      </w:r>
      <w:r w:rsidRPr="00610DED">
        <w:rPr>
          <w:rFonts w:ascii="Candara" w:eastAsia="華康儷楷書" w:hAnsi="Candara"/>
          <w:color w:val="000000" w:themeColor="text1"/>
          <w:sz w:val="26"/>
          <w:szCs w:val="26"/>
        </w:rPr>
        <w:t>52</w:t>
      </w:r>
      <w:r w:rsidRPr="00610DED">
        <w:rPr>
          <w:rFonts w:ascii="Candara" w:eastAsia="華康儷楷書" w:hAnsi="Candara"/>
          <w:color w:val="000000" w:themeColor="text1"/>
          <w:sz w:val="26"/>
          <w:szCs w:val="26"/>
        </w:rPr>
        <w:t>條</w:t>
      </w:r>
      <w:r w:rsidRPr="00610DED">
        <w:rPr>
          <w:rFonts w:ascii="Candara" w:eastAsia="華康儷楷書" w:hAnsi="Candara"/>
          <w:color w:val="000000" w:themeColor="text1"/>
          <w:sz w:val="26"/>
          <w:szCs w:val="26"/>
        </w:rPr>
        <w:t>)</w:t>
      </w:r>
      <w:r w:rsidRPr="00610DED">
        <w:rPr>
          <w:rFonts w:ascii="Candara" w:eastAsia="華康儷楷書" w:hAnsi="Candara" w:cs="新細明體"/>
          <w:color w:val="000000" w:themeColor="text1"/>
          <w:sz w:val="26"/>
          <w:szCs w:val="26"/>
        </w:rPr>
        <w:t>。本案屬於第二種情況，即所謂的</w:t>
      </w:r>
      <w:r w:rsidRPr="00610DED">
        <w:rPr>
          <w:rFonts w:ascii="Candara" w:eastAsia="華康儷楷書" w:hAnsi="Candara" w:cs="新細明體"/>
          <w:color w:val="000000" w:themeColor="text1"/>
          <w:sz w:val="26"/>
          <w:szCs w:val="26"/>
        </w:rPr>
        <w:t>“</w:t>
      </w:r>
      <w:r w:rsidRPr="00610DED">
        <w:rPr>
          <w:rFonts w:ascii="Candara" w:eastAsia="華康儷楷書" w:hAnsi="Candara"/>
          <w:color w:val="000000" w:themeColor="text1"/>
          <w:sz w:val="26"/>
          <w:szCs w:val="26"/>
        </w:rPr>
        <w:t>過期失效</w:t>
      </w:r>
      <w:r w:rsidRPr="00610DED">
        <w:rPr>
          <w:rFonts w:ascii="Candara" w:eastAsia="華康儷楷書" w:hAnsi="Candara"/>
          <w:color w:val="000000" w:themeColor="text1"/>
          <w:sz w:val="26"/>
          <w:szCs w:val="26"/>
        </w:rPr>
        <w:t>”</w:t>
      </w:r>
      <w:r w:rsidRPr="00610DED">
        <w:rPr>
          <w:rFonts w:ascii="Candara" w:eastAsia="華康儷楷書" w:hAnsi="Candara"/>
          <w:color w:val="000000" w:themeColor="text1"/>
          <w:sz w:val="26"/>
          <w:szCs w:val="26"/>
        </w:rPr>
        <w:t>，它的發生僅取決於</w:t>
      </w:r>
      <w:r w:rsidR="005B6126" w:rsidRPr="00610DED">
        <w:rPr>
          <w:rFonts w:ascii="Candara" w:eastAsia="華康儷楷書" w:hAnsi="Candara"/>
          <w:color w:val="000000" w:themeColor="text1"/>
          <w:sz w:val="26"/>
          <w:szCs w:val="26"/>
        </w:rPr>
        <w:t>期間</w:t>
      </w:r>
      <w:r w:rsidRPr="00610DED">
        <w:rPr>
          <w:rFonts w:ascii="Candara" w:eastAsia="華康儷楷書" w:hAnsi="Candara"/>
          <w:color w:val="000000" w:themeColor="text1"/>
          <w:sz w:val="26"/>
          <w:szCs w:val="26"/>
        </w:rPr>
        <w:t>屆滿這一單純的客觀事實。換言之，一旦</w:t>
      </w:r>
      <w:r w:rsidR="00E178AE" w:rsidRPr="00610DED">
        <w:rPr>
          <w:rFonts w:ascii="Candara" w:eastAsia="華康儷楷書" w:hAnsi="Candara"/>
          <w:color w:val="000000" w:themeColor="text1"/>
          <w:sz w:val="26"/>
          <w:szCs w:val="26"/>
        </w:rPr>
        <w:t>土地的</w:t>
      </w:r>
      <w:r w:rsidRPr="00610DED">
        <w:rPr>
          <w:rFonts w:ascii="Candara" w:eastAsia="華康儷楷書" w:hAnsi="Candara"/>
          <w:color w:val="000000" w:themeColor="text1"/>
          <w:sz w:val="26"/>
          <w:szCs w:val="26"/>
        </w:rPr>
        <w:t>臨時批給期間屆滿而</w:t>
      </w:r>
      <w:r w:rsidR="00E178AE" w:rsidRPr="00610DED">
        <w:rPr>
          <w:rFonts w:ascii="Candara" w:eastAsia="華康儷楷書" w:hAnsi="Candara"/>
          <w:color w:val="000000" w:themeColor="text1"/>
          <w:sz w:val="26"/>
          <w:szCs w:val="26"/>
        </w:rPr>
        <w:t>批給未轉為確定，</w:t>
      </w:r>
      <w:proofErr w:type="gramStart"/>
      <w:r w:rsidR="00E178AE" w:rsidRPr="00610DED">
        <w:rPr>
          <w:rFonts w:ascii="Candara" w:eastAsia="華康儷楷書" w:hAnsi="Candara"/>
          <w:color w:val="000000" w:themeColor="text1"/>
          <w:sz w:val="26"/>
          <w:szCs w:val="26"/>
        </w:rPr>
        <w:t>不論承批人</w:t>
      </w:r>
      <w:proofErr w:type="gramEnd"/>
      <w:r w:rsidR="00E178AE" w:rsidRPr="00610DED">
        <w:rPr>
          <w:rFonts w:ascii="Candara" w:eastAsia="華康儷楷書" w:hAnsi="Candara"/>
          <w:color w:val="000000" w:themeColor="text1"/>
          <w:sz w:val="26"/>
          <w:szCs w:val="26"/>
        </w:rPr>
        <w:t>是否有過錯，失效總是會發生。因此，上訴人對於土地批給</w:t>
      </w:r>
      <w:r w:rsidR="00E178AE" w:rsidRPr="00610DED">
        <w:rPr>
          <w:rFonts w:ascii="Candara" w:eastAsia="華康儷楷書" w:hAnsi="Candara" w:cs="Times New Roman"/>
          <w:color w:val="000000" w:themeColor="text1"/>
          <w:sz w:val="26"/>
          <w:szCs w:val="26"/>
        </w:rPr>
        <w:t>合同的不履行是否存有過錯是一個完全不重要的問題。該項上訴理由不成立。</w:t>
      </w:r>
    </w:p>
    <w:p w:rsidR="00E1556B" w:rsidRPr="00610DED" w:rsidRDefault="00E1556B" w:rsidP="00E1556B">
      <w:pPr>
        <w:ind w:firstLineChars="200" w:firstLine="520"/>
        <w:jc w:val="both"/>
        <w:rPr>
          <w:rStyle w:val="a3"/>
          <w:rFonts w:ascii="Candara" w:eastAsia="華康儷楷書" w:hAnsi="Candara" w:cs="Times New Roman"/>
          <w:b w:val="0"/>
          <w:bCs w:val="0"/>
          <w:color w:val="000000" w:themeColor="text1"/>
          <w:sz w:val="26"/>
          <w:szCs w:val="26"/>
        </w:rPr>
      </w:pPr>
    </w:p>
    <w:p w:rsidR="00E1556B" w:rsidRPr="00610DED" w:rsidRDefault="00E1556B" w:rsidP="000C5F5E">
      <w:pPr>
        <w:ind w:firstLineChars="200" w:firstLine="521"/>
        <w:jc w:val="both"/>
        <w:rPr>
          <w:rFonts w:ascii="Candara" w:eastAsia="華康儷楷書" w:hAnsi="Candara" w:cs="Times New Roman"/>
          <w:b/>
          <w:color w:val="000000" w:themeColor="text1"/>
          <w:sz w:val="26"/>
          <w:szCs w:val="26"/>
        </w:rPr>
      </w:pPr>
      <w:r w:rsidRPr="00610DED">
        <w:rPr>
          <w:rFonts w:ascii="Candara" w:eastAsia="華康儷楷書" w:hAnsi="Candara" w:cs="Times New Roman"/>
          <w:b/>
          <w:color w:val="000000" w:themeColor="text1"/>
          <w:sz w:val="26"/>
          <w:szCs w:val="26"/>
        </w:rPr>
        <w:t>關於</w:t>
      </w:r>
      <w:r w:rsidR="00E178AE" w:rsidRPr="00610DED">
        <w:rPr>
          <w:rFonts w:ascii="Candara" w:eastAsia="華康儷楷書" w:hAnsi="Candara" w:cs="Times New Roman"/>
          <w:b/>
          <w:color w:val="000000" w:themeColor="text1"/>
          <w:sz w:val="26"/>
          <w:szCs w:val="26"/>
        </w:rPr>
        <w:t>違反善意及保護信任原則</w:t>
      </w:r>
    </w:p>
    <w:p w:rsidR="00CE68AA" w:rsidRPr="00610DED" w:rsidRDefault="00CE68AA" w:rsidP="00E1556B">
      <w:pPr>
        <w:ind w:firstLineChars="200" w:firstLine="520"/>
        <w:jc w:val="both"/>
        <w:rPr>
          <w:rFonts w:ascii="Candara" w:eastAsia="華康儷楷書" w:hAnsi="Candara" w:cs="Times New Roman"/>
          <w:color w:val="000000" w:themeColor="text1"/>
          <w:sz w:val="26"/>
          <w:szCs w:val="26"/>
        </w:rPr>
      </w:pPr>
    </w:p>
    <w:p w:rsidR="00E178AE" w:rsidRPr="00610DED" w:rsidRDefault="00E178AE" w:rsidP="00E178AE">
      <w:pPr>
        <w:ind w:firstLineChars="200" w:firstLine="520"/>
        <w:jc w:val="both"/>
        <w:rPr>
          <w:rFonts w:ascii="Candara" w:eastAsia="華康儷楷書" w:hAnsi="Candara" w:cs="新細明體"/>
          <w:color w:val="000000" w:themeColor="text1"/>
          <w:sz w:val="26"/>
          <w:szCs w:val="26"/>
        </w:rPr>
      </w:pPr>
      <w:r w:rsidRPr="00610DED">
        <w:rPr>
          <w:rStyle w:val="a3"/>
          <w:rFonts w:ascii="Candara" w:eastAsia="華康儷楷書" w:hAnsi="Candara" w:cs="Times New Roman"/>
          <w:b w:val="0"/>
          <w:bCs w:val="0"/>
          <w:color w:val="000000" w:themeColor="text1"/>
          <w:sz w:val="26"/>
          <w:szCs w:val="26"/>
        </w:rPr>
        <w:t>合議庭指出，承上所述，</w:t>
      </w:r>
      <w:r w:rsidRPr="00610DED">
        <w:rPr>
          <w:rFonts w:ascii="Candara" w:eastAsia="華康儷楷書" w:hAnsi="Candara"/>
          <w:color w:val="000000" w:themeColor="text1"/>
          <w:sz w:val="26"/>
          <w:szCs w:val="26"/>
        </w:rPr>
        <w:t>本案屬於</w:t>
      </w:r>
      <w:r w:rsidRPr="00610DED">
        <w:rPr>
          <w:rFonts w:ascii="Candara" w:eastAsia="華康儷楷書" w:hAnsi="Candara" w:cs="新細明體"/>
          <w:color w:val="000000" w:themeColor="text1"/>
          <w:sz w:val="26"/>
          <w:szCs w:val="26"/>
        </w:rPr>
        <w:t>“</w:t>
      </w:r>
      <w:r w:rsidRPr="00610DED">
        <w:rPr>
          <w:rFonts w:ascii="Candara" w:eastAsia="華康儷楷書" w:hAnsi="Candara"/>
          <w:color w:val="000000" w:themeColor="text1"/>
          <w:sz w:val="26"/>
          <w:szCs w:val="26"/>
        </w:rPr>
        <w:t>過期失效</w:t>
      </w:r>
      <w:r w:rsidRPr="00610DED">
        <w:rPr>
          <w:rFonts w:ascii="Candara" w:eastAsia="華康儷楷書" w:hAnsi="Candara"/>
          <w:color w:val="000000" w:themeColor="text1"/>
          <w:sz w:val="26"/>
          <w:szCs w:val="26"/>
        </w:rPr>
        <w:t>”</w:t>
      </w:r>
      <w:r w:rsidRPr="00610DED">
        <w:rPr>
          <w:rFonts w:ascii="Candara" w:eastAsia="華康儷楷書" w:hAnsi="Candara"/>
          <w:color w:val="000000" w:themeColor="text1"/>
          <w:sz w:val="26"/>
          <w:szCs w:val="26"/>
        </w:rPr>
        <w:t>，它的發生僅取決於期間屆滿這一單純的客觀事實。由於法律強制性規定臨時批給期間屆滿而批給未轉為確定的後果為失效，沒有給予其它選擇，因此宣告失效屬於一項被限定的行政活動</w:t>
      </w:r>
      <w:r w:rsidRPr="00610DED">
        <w:rPr>
          <w:rFonts w:ascii="Candara" w:eastAsia="華康儷楷書" w:hAnsi="Candara" w:cs="新細明體"/>
          <w:color w:val="000000" w:themeColor="text1"/>
          <w:sz w:val="26"/>
          <w:szCs w:val="26"/>
        </w:rPr>
        <w:t>。在</w:t>
      </w:r>
      <w:r w:rsidRPr="00610DED">
        <w:rPr>
          <w:rFonts w:ascii="Candara" w:eastAsia="華康儷楷書" w:hAnsi="Candara"/>
          <w:color w:val="000000" w:themeColor="text1"/>
          <w:sz w:val="26"/>
          <w:szCs w:val="26"/>
        </w:rPr>
        <w:t>被限定的行政活動</w:t>
      </w:r>
      <w:r w:rsidR="00610DED" w:rsidRPr="00610DED">
        <w:rPr>
          <w:rFonts w:ascii="Candara" w:eastAsia="華康儷楷書" w:hAnsi="Candara"/>
          <w:color w:val="000000" w:themeColor="text1"/>
          <w:sz w:val="26"/>
          <w:szCs w:val="26"/>
        </w:rPr>
        <w:t>中，</w:t>
      </w:r>
      <w:r w:rsidRPr="00610DED">
        <w:rPr>
          <w:rFonts w:ascii="Candara" w:eastAsia="華康儷楷書" w:hAnsi="Candara"/>
          <w:color w:val="000000" w:themeColor="text1"/>
          <w:sz w:val="26"/>
          <w:szCs w:val="26"/>
        </w:rPr>
        <w:t>不存在違反這兩項原則的問題</w:t>
      </w:r>
      <w:r w:rsidRPr="00610DED">
        <w:rPr>
          <w:rFonts w:ascii="Candara" w:eastAsia="華康儷楷書" w:hAnsi="Candara" w:cs="Times New Roman"/>
          <w:color w:val="000000" w:themeColor="text1"/>
          <w:sz w:val="26"/>
          <w:szCs w:val="26"/>
        </w:rPr>
        <w:t>。此上訴理由不成立。</w:t>
      </w:r>
    </w:p>
    <w:p w:rsidR="00E178AE" w:rsidRPr="00610DED" w:rsidRDefault="00E178AE" w:rsidP="00E1556B">
      <w:pPr>
        <w:ind w:firstLineChars="200" w:firstLine="520"/>
        <w:jc w:val="both"/>
        <w:rPr>
          <w:rFonts w:ascii="Candara" w:eastAsia="華康儷楷書" w:hAnsi="Candara" w:cs="Times New Roman"/>
          <w:color w:val="000000" w:themeColor="text1"/>
          <w:sz w:val="26"/>
          <w:szCs w:val="26"/>
        </w:rPr>
      </w:pPr>
    </w:p>
    <w:p w:rsidR="007C3C2D" w:rsidRPr="00610DED" w:rsidRDefault="007C3C2D" w:rsidP="007C3C2D">
      <w:pPr>
        <w:ind w:firstLineChars="200" w:firstLine="521"/>
        <w:jc w:val="both"/>
        <w:rPr>
          <w:rStyle w:val="a3"/>
          <w:rFonts w:ascii="Candara" w:eastAsia="華康儷楷書" w:hAnsi="Candara" w:cs="Times New Roman"/>
          <w:color w:val="000000" w:themeColor="text1"/>
          <w:sz w:val="26"/>
          <w:szCs w:val="26"/>
        </w:rPr>
      </w:pPr>
      <w:r w:rsidRPr="00610DED">
        <w:rPr>
          <w:rStyle w:val="a3"/>
          <w:rFonts w:ascii="Candara" w:eastAsia="華康儷楷書" w:hAnsi="Candara" w:cs="Times New Roman"/>
          <w:color w:val="000000" w:themeColor="text1"/>
          <w:sz w:val="26"/>
          <w:szCs w:val="26"/>
        </w:rPr>
        <w:t>關於欠缺事先聽證</w:t>
      </w:r>
    </w:p>
    <w:p w:rsidR="007C3C2D" w:rsidRPr="00610DED" w:rsidRDefault="007C3C2D" w:rsidP="007C3C2D">
      <w:pPr>
        <w:ind w:firstLineChars="200" w:firstLine="520"/>
        <w:jc w:val="both"/>
        <w:rPr>
          <w:rFonts w:ascii="Candara" w:eastAsia="華康儷楷書" w:hAnsi="Candara" w:cs="Times New Roman"/>
          <w:color w:val="000000" w:themeColor="text1"/>
          <w:sz w:val="26"/>
          <w:szCs w:val="26"/>
        </w:rPr>
      </w:pPr>
    </w:p>
    <w:p w:rsidR="007C3C2D" w:rsidRPr="00610DED" w:rsidRDefault="00E178AE" w:rsidP="005B6126">
      <w:pPr>
        <w:ind w:firstLineChars="200" w:firstLine="520"/>
        <w:jc w:val="both"/>
        <w:rPr>
          <w:rFonts w:ascii="Candara" w:eastAsia="華康儷楷書" w:hAnsi="Candara"/>
          <w:color w:val="000000" w:themeColor="text1"/>
          <w:sz w:val="26"/>
          <w:szCs w:val="26"/>
        </w:rPr>
      </w:pPr>
      <w:r w:rsidRPr="00610DED">
        <w:rPr>
          <w:rStyle w:val="a3"/>
          <w:rFonts w:ascii="Candara" w:eastAsia="華康儷楷書" w:hAnsi="Candara" w:cs="Times New Roman"/>
          <w:b w:val="0"/>
          <w:bCs w:val="0"/>
          <w:color w:val="000000" w:themeColor="text1"/>
          <w:sz w:val="26"/>
          <w:szCs w:val="26"/>
        </w:rPr>
        <w:t>合議庭指出，</w:t>
      </w:r>
      <w:r w:rsidR="005B6126" w:rsidRPr="00610DED">
        <w:rPr>
          <w:rStyle w:val="a3"/>
          <w:rFonts w:ascii="Candara" w:eastAsia="華康儷楷書" w:hAnsi="Candara" w:cs="Times New Roman"/>
          <w:b w:val="0"/>
          <w:bCs w:val="0"/>
          <w:color w:val="000000" w:themeColor="text1"/>
          <w:sz w:val="26"/>
          <w:szCs w:val="26"/>
        </w:rPr>
        <w:t>事先聽證是為了確保利害關係人的反駁權，避免出現出其不意的決定。</w:t>
      </w:r>
      <w:r w:rsidR="005B6126" w:rsidRPr="00610DED">
        <w:rPr>
          <w:rFonts w:ascii="Candara" w:eastAsia="華康儷楷書" w:hAnsi="Candara" w:cs="新細明體"/>
          <w:color w:val="000000" w:themeColor="text1"/>
          <w:sz w:val="26"/>
          <w:szCs w:val="26"/>
        </w:rPr>
        <w:t>如前所述，本案中行政當局的活動是被限定的。</w:t>
      </w:r>
      <w:r w:rsidR="007C3C2D" w:rsidRPr="00610DED">
        <w:rPr>
          <w:rFonts w:ascii="Candara" w:eastAsia="華康儷楷書" w:hAnsi="Candara" w:cs="新細明體"/>
          <w:color w:val="000000" w:themeColor="text1"/>
          <w:sz w:val="26"/>
          <w:szCs w:val="26"/>
        </w:rPr>
        <w:t>在這種情況下，對上訴人進行聽證不具有任何重要性，因為它完全不能對被上訴實體的決定構成影響。因此該理由</w:t>
      </w:r>
      <w:r w:rsidR="00610DED" w:rsidRPr="00610DED">
        <w:rPr>
          <w:rFonts w:ascii="Candara" w:eastAsia="華康儷楷書" w:hAnsi="Candara" w:cs="新細明體"/>
          <w:color w:val="000000" w:themeColor="text1"/>
          <w:sz w:val="26"/>
          <w:szCs w:val="26"/>
        </w:rPr>
        <w:t>也</w:t>
      </w:r>
      <w:r w:rsidR="007C3C2D" w:rsidRPr="00610DED">
        <w:rPr>
          <w:rFonts w:ascii="Candara" w:eastAsia="華康儷楷書" w:hAnsi="Candara" w:cs="新細明體"/>
          <w:color w:val="000000" w:themeColor="text1"/>
          <w:sz w:val="26"/>
          <w:szCs w:val="26"/>
        </w:rPr>
        <w:t>不成立。</w:t>
      </w:r>
    </w:p>
    <w:p w:rsidR="007C3C2D" w:rsidRPr="00610DED" w:rsidRDefault="007C3C2D" w:rsidP="00E1556B">
      <w:pPr>
        <w:ind w:firstLineChars="200" w:firstLine="520"/>
        <w:jc w:val="both"/>
        <w:rPr>
          <w:rFonts w:ascii="Candara" w:eastAsia="華康儷楷書" w:hAnsi="Candara" w:cs="Times New Roman"/>
          <w:color w:val="000000" w:themeColor="text1"/>
          <w:sz w:val="26"/>
          <w:szCs w:val="26"/>
        </w:rPr>
      </w:pPr>
    </w:p>
    <w:p w:rsidR="00851F5B" w:rsidRPr="00610DED" w:rsidRDefault="008C2B5E" w:rsidP="00851F5B">
      <w:pPr>
        <w:ind w:firstLineChars="200" w:firstLine="520"/>
        <w:jc w:val="both"/>
        <w:rPr>
          <w:rFonts w:ascii="Candara" w:eastAsia="華康儷楷書" w:hAnsi="Candara" w:cs="Times New Roman"/>
          <w:color w:val="000000" w:themeColor="text1"/>
          <w:sz w:val="26"/>
          <w:szCs w:val="26"/>
        </w:rPr>
      </w:pPr>
      <w:r w:rsidRPr="00610DED">
        <w:rPr>
          <w:rFonts w:ascii="Candara" w:eastAsia="華康儷楷書" w:hAnsi="Candara" w:cs="Times New Roman"/>
          <w:color w:val="000000" w:themeColor="text1"/>
          <w:sz w:val="26"/>
          <w:szCs w:val="26"/>
        </w:rPr>
        <w:t>綜合以上理由，</w:t>
      </w:r>
      <w:r w:rsidR="00851F5B" w:rsidRPr="00610DED">
        <w:rPr>
          <w:rFonts w:ascii="Candara" w:eastAsia="華康儷楷書" w:hAnsi="Candara" w:cs="Times New Roman"/>
          <w:color w:val="000000" w:themeColor="text1"/>
          <w:sz w:val="26"/>
          <w:szCs w:val="26"/>
        </w:rPr>
        <w:t>中級法院</w:t>
      </w:r>
      <w:r w:rsidRPr="00610DED">
        <w:rPr>
          <w:rFonts w:ascii="Candara" w:eastAsia="華康儷楷書" w:hAnsi="Candara" w:cs="Times New Roman"/>
          <w:color w:val="000000" w:themeColor="text1"/>
          <w:sz w:val="26"/>
          <w:szCs w:val="26"/>
        </w:rPr>
        <w:t>合議庭裁定司法上訴敗訴，確認了被上訴的行為。</w:t>
      </w:r>
    </w:p>
    <w:p w:rsidR="00CE68AA" w:rsidRPr="00610DED" w:rsidRDefault="00CE68AA" w:rsidP="00851F5B">
      <w:pPr>
        <w:ind w:firstLineChars="200" w:firstLine="520"/>
        <w:jc w:val="both"/>
        <w:rPr>
          <w:rFonts w:ascii="Candara" w:eastAsia="華康儷楷書" w:hAnsi="Candara" w:cs="Times New Roman"/>
          <w:color w:val="000000" w:themeColor="text1"/>
          <w:sz w:val="26"/>
          <w:szCs w:val="26"/>
        </w:rPr>
      </w:pPr>
    </w:p>
    <w:p w:rsidR="008C2B5E" w:rsidRDefault="008C2B5E" w:rsidP="00851F5B">
      <w:pPr>
        <w:ind w:firstLineChars="200" w:firstLine="520"/>
        <w:jc w:val="both"/>
        <w:rPr>
          <w:rFonts w:ascii="Candara" w:eastAsia="華康儷楷書" w:hAnsi="Candara" w:cs="Times New Roman"/>
          <w:color w:val="000000" w:themeColor="text1"/>
          <w:sz w:val="26"/>
          <w:szCs w:val="26"/>
        </w:rPr>
      </w:pPr>
      <w:r w:rsidRPr="00610DED">
        <w:rPr>
          <w:rFonts w:ascii="Candara" w:eastAsia="華康儷楷書" w:hAnsi="Candara" w:cs="Times New Roman"/>
          <w:color w:val="000000" w:themeColor="text1"/>
          <w:sz w:val="26"/>
          <w:szCs w:val="26"/>
        </w:rPr>
        <w:t>參閱中級法院第</w:t>
      </w:r>
      <w:r w:rsidR="00912798" w:rsidRPr="00610DED">
        <w:rPr>
          <w:rFonts w:ascii="Candara" w:eastAsia="華康儷楷書" w:hAnsi="Candara" w:cs="Times New Roman"/>
          <w:color w:val="000000" w:themeColor="text1"/>
          <w:sz w:val="26"/>
          <w:szCs w:val="26"/>
        </w:rPr>
        <w:t>26</w:t>
      </w:r>
      <w:r w:rsidRPr="00610DED">
        <w:rPr>
          <w:rFonts w:ascii="Candara" w:eastAsia="華康儷楷書" w:hAnsi="Candara" w:cs="Times New Roman"/>
          <w:color w:val="000000" w:themeColor="text1"/>
          <w:sz w:val="26"/>
          <w:szCs w:val="26"/>
        </w:rPr>
        <w:t>/20</w:t>
      </w:r>
      <w:r w:rsidR="00912798" w:rsidRPr="00610DED">
        <w:rPr>
          <w:rFonts w:ascii="Candara" w:eastAsia="華康儷楷書" w:hAnsi="Candara" w:cs="Times New Roman"/>
          <w:color w:val="000000" w:themeColor="text1"/>
          <w:sz w:val="26"/>
          <w:szCs w:val="26"/>
        </w:rPr>
        <w:t>17</w:t>
      </w:r>
      <w:r w:rsidRPr="00610DED">
        <w:rPr>
          <w:rFonts w:ascii="Candara" w:eastAsia="華康儷楷書" w:hAnsi="Candara" w:cs="Times New Roman"/>
          <w:color w:val="000000" w:themeColor="text1"/>
          <w:sz w:val="26"/>
          <w:szCs w:val="26"/>
        </w:rPr>
        <w:t>號案的合議庭裁判。</w:t>
      </w:r>
    </w:p>
    <w:p w:rsidR="0014307D" w:rsidRDefault="0014307D" w:rsidP="00851F5B">
      <w:pPr>
        <w:ind w:firstLineChars="200" w:firstLine="520"/>
        <w:jc w:val="both"/>
        <w:rPr>
          <w:rFonts w:ascii="Candara" w:eastAsia="華康儷楷書" w:hAnsi="Candara" w:cs="Times New Roman"/>
          <w:color w:val="000000" w:themeColor="text1"/>
          <w:sz w:val="26"/>
          <w:szCs w:val="26"/>
        </w:rPr>
      </w:pPr>
    </w:p>
    <w:p w:rsidR="0014307D" w:rsidRPr="0012603E" w:rsidRDefault="0014307D" w:rsidP="0014307D">
      <w:pPr>
        <w:spacing w:line="440" w:lineRule="exact"/>
        <w:jc w:val="center"/>
        <w:rPr>
          <w:rFonts w:ascii="Times New Roman" w:eastAsia="標楷體" w:hAnsi="Times New Roman" w:cs="Times New Roman"/>
        </w:rPr>
      </w:pPr>
    </w:p>
    <w:p w:rsidR="0014307D" w:rsidRPr="0012603E" w:rsidRDefault="0014307D" w:rsidP="0014307D">
      <w:pPr>
        <w:spacing w:line="440" w:lineRule="exact"/>
        <w:jc w:val="center"/>
        <w:rPr>
          <w:rFonts w:ascii="Times New Roman" w:eastAsia="標楷體" w:hAnsi="Times New Roman" w:cs="Times New Roman"/>
          <w:color w:val="000000" w:themeColor="text1"/>
          <w:szCs w:val="24"/>
        </w:rPr>
      </w:pPr>
      <w:r w:rsidRPr="0012603E">
        <w:rPr>
          <w:rFonts w:ascii="Times New Roman" w:eastAsia="標楷體" w:hAnsi="Times New Roman" w:cs="Times New Roman"/>
          <w:color w:val="000000" w:themeColor="text1"/>
          <w:szCs w:val="24"/>
        </w:rPr>
        <w:t>終審法院院長辦公室</w:t>
      </w:r>
    </w:p>
    <w:p w:rsidR="0014307D" w:rsidRPr="0012603E" w:rsidRDefault="0014307D" w:rsidP="0014307D">
      <w:pPr>
        <w:spacing w:line="440" w:lineRule="exact"/>
        <w:jc w:val="center"/>
        <w:rPr>
          <w:rFonts w:ascii="Times New Roman" w:eastAsia="標楷體" w:hAnsi="Times New Roman" w:cs="Times New Roman"/>
          <w:color w:val="000000" w:themeColor="text1"/>
          <w:szCs w:val="24"/>
        </w:rPr>
      </w:pPr>
      <w:r w:rsidRPr="0012603E">
        <w:rPr>
          <w:rFonts w:ascii="Times New Roman" w:eastAsia="標楷體" w:hAnsi="Times New Roman" w:cs="Times New Roman"/>
          <w:color w:val="000000" w:themeColor="text1"/>
          <w:szCs w:val="24"/>
        </w:rPr>
        <w:t>2018</w:t>
      </w:r>
      <w:r w:rsidRPr="0012603E">
        <w:rPr>
          <w:rFonts w:ascii="Times New Roman" w:eastAsia="標楷體" w:hAnsi="Times New Roman" w:cs="Times New Roman"/>
          <w:color w:val="000000" w:themeColor="text1"/>
          <w:szCs w:val="24"/>
        </w:rPr>
        <w:t>年</w:t>
      </w:r>
      <w:r>
        <w:rPr>
          <w:rFonts w:ascii="Times New Roman" w:eastAsia="標楷體" w:hAnsi="Times New Roman" w:cs="Times New Roman"/>
          <w:color w:val="000000" w:themeColor="text1"/>
          <w:szCs w:val="24"/>
        </w:rPr>
        <w:t>2</w:t>
      </w:r>
      <w:r w:rsidRPr="0012603E">
        <w:rPr>
          <w:rFonts w:ascii="Times New Roman" w:eastAsia="標楷體" w:hAnsi="Times New Roman" w:cs="Times New Roman"/>
          <w:color w:val="000000" w:themeColor="text1"/>
          <w:szCs w:val="24"/>
        </w:rPr>
        <w:t>月</w:t>
      </w:r>
      <w:r>
        <w:rPr>
          <w:rFonts w:ascii="Times New Roman" w:eastAsia="標楷體" w:hAnsi="Times New Roman" w:cs="Times New Roman"/>
          <w:color w:val="000000" w:themeColor="text1"/>
          <w:szCs w:val="24"/>
        </w:rPr>
        <w:t>26</w:t>
      </w:r>
      <w:r w:rsidRPr="0012603E">
        <w:rPr>
          <w:rFonts w:ascii="Times New Roman" w:eastAsia="標楷體" w:hAnsi="Times New Roman" w:cs="Times New Roman"/>
          <w:color w:val="000000" w:themeColor="text1"/>
          <w:szCs w:val="24"/>
        </w:rPr>
        <w:t>日</w:t>
      </w:r>
    </w:p>
    <w:p w:rsidR="0014307D" w:rsidRPr="0014307D" w:rsidRDefault="0014307D" w:rsidP="0014307D">
      <w:pPr>
        <w:ind w:firstLineChars="200" w:firstLine="521"/>
        <w:jc w:val="both"/>
        <w:rPr>
          <w:rFonts w:ascii="Candara" w:eastAsia="華康儷楷書" w:hAnsi="Candara" w:cs="Times New Roman"/>
          <w:b/>
          <w:color w:val="000000" w:themeColor="text1"/>
          <w:sz w:val="26"/>
          <w:szCs w:val="26"/>
        </w:rPr>
      </w:pPr>
    </w:p>
    <w:sectPr w:rsidR="0014307D" w:rsidRPr="0014307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AC" w:rsidRDefault="00647FAC" w:rsidP="0014307D">
      <w:r>
        <w:separator/>
      </w:r>
    </w:p>
  </w:endnote>
  <w:endnote w:type="continuationSeparator" w:id="0">
    <w:p w:rsidR="00647FAC" w:rsidRDefault="00647FAC" w:rsidP="0014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華康儷楷書">
    <w:panose1 w:val="030005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AC" w:rsidRDefault="00647FAC" w:rsidP="0014307D">
      <w:r>
        <w:separator/>
      </w:r>
    </w:p>
  </w:footnote>
  <w:footnote w:type="continuationSeparator" w:id="0">
    <w:p w:rsidR="00647FAC" w:rsidRDefault="00647FAC" w:rsidP="00143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52"/>
    <w:rsid w:val="0007063B"/>
    <w:rsid w:val="000C5F5E"/>
    <w:rsid w:val="0014307D"/>
    <w:rsid w:val="001518CE"/>
    <w:rsid w:val="00254BB1"/>
    <w:rsid w:val="00403952"/>
    <w:rsid w:val="005B6126"/>
    <w:rsid w:val="00610DED"/>
    <w:rsid w:val="00647FAC"/>
    <w:rsid w:val="00661D60"/>
    <w:rsid w:val="007C3C2D"/>
    <w:rsid w:val="00851F5B"/>
    <w:rsid w:val="008C2B5E"/>
    <w:rsid w:val="00912798"/>
    <w:rsid w:val="00974DD0"/>
    <w:rsid w:val="0098142A"/>
    <w:rsid w:val="00CB0E22"/>
    <w:rsid w:val="00CE68AA"/>
    <w:rsid w:val="00E1556B"/>
    <w:rsid w:val="00E178AE"/>
    <w:rsid w:val="00F06A1E"/>
    <w:rsid w:val="00FF33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E1556B"/>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2B5E"/>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8C2B5E"/>
    <w:rPr>
      <w:b/>
      <w:bCs/>
    </w:rPr>
  </w:style>
  <w:style w:type="character" w:customStyle="1" w:styleId="10">
    <w:name w:val="標題 1 字元"/>
    <w:basedOn w:val="a0"/>
    <w:link w:val="1"/>
    <w:uiPriority w:val="9"/>
    <w:rsid w:val="00E1556B"/>
    <w:rPr>
      <w:rFonts w:ascii="Times New Roman" w:eastAsia="Times New Roman" w:hAnsi="Times New Roman" w:cs="Times New Roman"/>
      <w:b/>
      <w:bCs/>
      <w:kern w:val="36"/>
      <w:sz w:val="48"/>
      <w:szCs w:val="48"/>
    </w:rPr>
  </w:style>
  <w:style w:type="paragraph" w:styleId="a4">
    <w:name w:val="header"/>
    <w:basedOn w:val="a"/>
    <w:link w:val="a5"/>
    <w:uiPriority w:val="99"/>
    <w:unhideWhenUsed/>
    <w:rsid w:val="0014307D"/>
    <w:pPr>
      <w:tabs>
        <w:tab w:val="center" w:pos="4153"/>
        <w:tab w:val="right" w:pos="8306"/>
      </w:tabs>
      <w:snapToGrid w:val="0"/>
    </w:pPr>
    <w:rPr>
      <w:sz w:val="20"/>
      <w:szCs w:val="20"/>
    </w:rPr>
  </w:style>
  <w:style w:type="character" w:customStyle="1" w:styleId="a5">
    <w:name w:val="頁首 字元"/>
    <w:basedOn w:val="a0"/>
    <w:link w:val="a4"/>
    <w:uiPriority w:val="99"/>
    <w:rsid w:val="0014307D"/>
    <w:rPr>
      <w:sz w:val="20"/>
      <w:szCs w:val="20"/>
    </w:rPr>
  </w:style>
  <w:style w:type="paragraph" w:styleId="a6">
    <w:name w:val="footer"/>
    <w:basedOn w:val="a"/>
    <w:link w:val="a7"/>
    <w:uiPriority w:val="99"/>
    <w:unhideWhenUsed/>
    <w:rsid w:val="0014307D"/>
    <w:pPr>
      <w:tabs>
        <w:tab w:val="center" w:pos="4153"/>
        <w:tab w:val="right" w:pos="8306"/>
      </w:tabs>
      <w:snapToGrid w:val="0"/>
    </w:pPr>
    <w:rPr>
      <w:sz w:val="20"/>
      <w:szCs w:val="20"/>
    </w:rPr>
  </w:style>
  <w:style w:type="character" w:customStyle="1" w:styleId="a7">
    <w:name w:val="頁尾 字元"/>
    <w:basedOn w:val="a0"/>
    <w:link w:val="a6"/>
    <w:uiPriority w:val="99"/>
    <w:rsid w:val="0014307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E1556B"/>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2B5E"/>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8C2B5E"/>
    <w:rPr>
      <w:b/>
      <w:bCs/>
    </w:rPr>
  </w:style>
  <w:style w:type="character" w:customStyle="1" w:styleId="10">
    <w:name w:val="標題 1 字元"/>
    <w:basedOn w:val="a0"/>
    <w:link w:val="1"/>
    <w:uiPriority w:val="9"/>
    <w:rsid w:val="00E1556B"/>
    <w:rPr>
      <w:rFonts w:ascii="Times New Roman" w:eastAsia="Times New Roman" w:hAnsi="Times New Roman" w:cs="Times New Roman"/>
      <w:b/>
      <w:bCs/>
      <w:kern w:val="36"/>
      <w:sz w:val="48"/>
      <w:szCs w:val="48"/>
    </w:rPr>
  </w:style>
  <w:style w:type="paragraph" w:styleId="a4">
    <w:name w:val="header"/>
    <w:basedOn w:val="a"/>
    <w:link w:val="a5"/>
    <w:uiPriority w:val="99"/>
    <w:unhideWhenUsed/>
    <w:rsid w:val="0014307D"/>
    <w:pPr>
      <w:tabs>
        <w:tab w:val="center" w:pos="4153"/>
        <w:tab w:val="right" w:pos="8306"/>
      </w:tabs>
      <w:snapToGrid w:val="0"/>
    </w:pPr>
    <w:rPr>
      <w:sz w:val="20"/>
      <w:szCs w:val="20"/>
    </w:rPr>
  </w:style>
  <w:style w:type="character" w:customStyle="1" w:styleId="a5">
    <w:name w:val="頁首 字元"/>
    <w:basedOn w:val="a0"/>
    <w:link w:val="a4"/>
    <w:uiPriority w:val="99"/>
    <w:rsid w:val="0014307D"/>
    <w:rPr>
      <w:sz w:val="20"/>
      <w:szCs w:val="20"/>
    </w:rPr>
  </w:style>
  <w:style w:type="paragraph" w:styleId="a6">
    <w:name w:val="footer"/>
    <w:basedOn w:val="a"/>
    <w:link w:val="a7"/>
    <w:uiPriority w:val="99"/>
    <w:unhideWhenUsed/>
    <w:rsid w:val="0014307D"/>
    <w:pPr>
      <w:tabs>
        <w:tab w:val="center" w:pos="4153"/>
        <w:tab w:val="right" w:pos="8306"/>
      </w:tabs>
      <w:snapToGrid w:val="0"/>
    </w:pPr>
    <w:rPr>
      <w:sz w:val="20"/>
      <w:szCs w:val="20"/>
    </w:rPr>
  </w:style>
  <w:style w:type="character" w:customStyle="1" w:styleId="a7">
    <w:name w:val="頁尾 字元"/>
    <w:basedOn w:val="a0"/>
    <w:link w:val="a6"/>
    <w:uiPriority w:val="99"/>
    <w:rsid w:val="001430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95008">
      <w:bodyDiv w:val="1"/>
      <w:marLeft w:val="0"/>
      <w:marRight w:val="0"/>
      <w:marTop w:val="0"/>
      <w:marBottom w:val="0"/>
      <w:divBdr>
        <w:top w:val="none" w:sz="0" w:space="0" w:color="auto"/>
        <w:left w:val="none" w:sz="0" w:space="0" w:color="auto"/>
        <w:bottom w:val="none" w:sz="0" w:space="0" w:color="auto"/>
        <w:right w:val="none" w:sz="0" w:space="0" w:color="auto"/>
      </w:divBdr>
    </w:div>
    <w:div w:id="16101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Huan</dc:creator>
  <cp:keywords/>
  <dc:description/>
  <cp:lastModifiedBy>Mirandolinda G.S.C.</cp:lastModifiedBy>
  <cp:revision>7</cp:revision>
  <cp:lastPrinted>2018-02-06T04:25:00Z</cp:lastPrinted>
  <dcterms:created xsi:type="dcterms:W3CDTF">2017-11-09T07:43:00Z</dcterms:created>
  <dcterms:modified xsi:type="dcterms:W3CDTF">2018-02-26T09:26:00Z</dcterms:modified>
</cp:coreProperties>
</file>