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E95" w:rsidRPr="00034F2D" w:rsidRDefault="003947D0" w:rsidP="00034F2D">
      <w:pPr>
        <w:spacing w:line="480" w:lineRule="exact"/>
        <w:jc w:val="center"/>
        <w:rPr>
          <w:rFonts w:ascii="Times New Roman" w:hAnsi="Times New Roman" w:cs="Times New Roman"/>
          <w:b/>
          <w:color w:val="000000"/>
          <w:sz w:val="32"/>
          <w:szCs w:val="28"/>
          <w:lang w:val="pt-PT"/>
        </w:rPr>
      </w:pPr>
      <w:r w:rsidRPr="00034F2D">
        <w:rPr>
          <w:rFonts w:ascii="Times New Roman" w:hAnsi="Times New Roman" w:cs="Times New Roman"/>
          <w:b/>
          <w:color w:val="000000"/>
          <w:sz w:val="32"/>
          <w:szCs w:val="28"/>
          <w:lang w:val="pt-PT"/>
        </w:rPr>
        <w:t>中級法院駁回劉鑾雄的再審上訴</w:t>
      </w:r>
    </w:p>
    <w:p w:rsidR="003947D0" w:rsidRPr="00034F2D" w:rsidRDefault="003947D0" w:rsidP="00034F2D">
      <w:pPr>
        <w:spacing w:line="480" w:lineRule="exact"/>
        <w:rPr>
          <w:rFonts w:ascii="Times New Roman" w:hAnsi="Times New Roman" w:cs="Times New Roman"/>
          <w:color w:val="000000"/>
          <w:sz w:val="26"/>
          <w:szCs w:val="26"/>
          <w:lang w:val="pt-PT"/>
        </w:rPr>
      </w:pPr>
    </w:p>
    <w:p w:rsidR="003947D0" w:rsidRPr="00034F2D" w:rsidRDefault="00CB7EA6" w:rsidP="00034F2D">
      <w:pPr>
        <w:spacing w:line="480" w:lineRule="exact"/>
        <w:ind w:firstLineChars="200" w:firstLine="480"/>
        <w:jc w:val="both"/>
        <w:rPr>
          <w:rFonts w:ascii="Times New Roman" w:hAnsi="Times New Roman" w:cs="Times New Roman"/>
          <w:color w:val="000000"/>
          <w:szCs w:val="24"/>
        </w:rPr>
      </w:pPr>
      <w:r w:rsidRPr="00034F2D">
        <w:rPr>
          <w:rFonts w:ascii="Times New Roman" w:hAnsi="Times New Roman" w:cs="Times New Roman"/>
          <w:color w:val="000000"/>
          <w:szCs w:val="24"/>
          <w:lang w:val="pt-PT"/>
        </w:rPr>
        <w:t>2014</w:t>
      </w:r>
      <w:r w:rsidRPr="00034F2D">
        <w:rPr>
          <w:rFonts w:ascii="Times New Roman" w:hAnsi="Times New Roman" w:cs="Times New Roman"/>
          <w:color w:val="000000"/>
          <w:szCs w:val="24"/>
          <w:lang w:val="pt-PT"/>
        </w:rPr>
        <w:t>年</w:t>
      </w:r>
      <w:r w:rsidRPr="00034F2D">
        <w:rPr>
          <w:rFonts w:ascii="Times New Roman" w:hAnsi="Times New Roman" w:cs="Times New Roman"/>
          <w:color w:val="000000"/>
          <w:szCs w:val="24"/>
          <w:lang w:val="pt-PT"/>
        </w:rPr>
        <w:t>3</w:t>
      </w:r>
      <w:r w:rsidRPr="00034F2D">
        <w:rPr>
          <w:rFonts w:ascii="Times New Roman" w:hAnsi="Times New Roman" w:cs="Times New Roman"/>
          <w:color w:val="000000"/>
          <w:szCs w:val="24"/>
          <w:lang w:val="pt-PT"/>
        </w:rPr>
        <w:t>月</w:t>
      </w:r>
      <w:r w:rsidRPr="00034F2D">
        <w:rPr>
          <w:rFonts w:ascii="Times New Roman" w:hAnsi="Times New Roman" w:cs="Times New Roman"/>
          <w:color w:val="000000"/>
          <w:szCs w:val="24"/>
          <w:lang w:val="pt-PT"/>
        </w:rPr>
        <w:t>14</w:t>
      </w:r>
      <w:r w:rsidRPr="00034F2D">
        <w:rPr>
          <w:rFonts w:ascii="Times New Roman" w:hAnsi="Times New Roman" w:cs="Times New Roman"/>
          <w:color w:val="000000"/>
          <w:szCs w:val="24"/>
          <w:lang w:val="pt-PT"/>
        </w:rPr>
        <w:t>日，</w:t>
      </w:r>
      <w:r w:rsidR="003947D0" w:rsidRPr="00034F2D">
        <w:rPr>
          <w:rFonts w:ascii="Times New Roman" w:hAnsi="Times New Roman" w:cs="Times New Roman"/>
          <w:color w:val="000000"/>
          <w:szCs w:val="24"/>
        </w:rPr>
        <w:t>香港商人劉鑾雄因給予前運輸工務司司長歐文龍其不應收取的利益回報，讓其在氹仔島雞頸馬路及偉龍馬路交界五幅土地審批程序中作出違反職務義務的行為，以及與歐文龍共同透過他人銀行帳戶接收和轉移上述不法回報，以便隱瞞及掩飾其不法來源和性質而被澳門初級法院刑事法庭裁定觸犯一項《刑法典》第</w:t>
      </w:r>
      <w:r w:rsidR="003947D0" w:rsidRPr="00034F2D">
        <w:rPr>
          <w:rFonts w:ascii="Times New Roman" w:hAnsi="Times New Roman" w:cs="Times New Roman"/>
          <w:color w:val="000000"/>
          <w:szCs w:val="24"/>
        </w:rPr>
        <w:t>339</w:t>
      </w:r>
      <w:r w:rsidR="003947D0" w:rsidRPr="00034F2D">
        <w:rPr>
          <w:rFonts w:ascii="Times New Roman" w:hAnsi="Times New Roman" w:cs="Times New Roman"/>
          <w:color w:val="000000"/>
          <w:szCs w:val="24"/>
        </w:rPr>
        <w:t>條第</w:t>
      </w:r>
      <w:r w:rsidR="003947D0" w:rsidRPr="00034F2D">
        <w:rPr>
          <w:rFonts w:ascii="Times New Roman" w:hAnsi="Times New Roman" w:cs="Times New Roman"/>
          <w:color w:val="000000"/>
          <w:szCs w:val="24"/>
        </w:rPr>
        <w:t>1</w:t>
      </w:r>
      <w:r w:rsidR="003947D0" w:rsidRPr="00034F2D">
        <w:rPr>
          <w:rFonts w:ascii="Times New Roman" w:hAnsi="Times New Roman" w:cs="Times New Roman"/>
          <w:color w:val="000000"/>
          <w:szCs w:val="24"/>
        </w:rPr>
        <w:t>款所規定及處罰的行賄作不法行為罪</w:t>
      </w:r>
      <w:r w:rsidR="005624A3" w:rsidRPr="00034F2D">
        <w:rPr>
          <w:rFonts w:ascii="Times New Roman" w:hAnsi="Times New Roman" w:cs="Times New Roman"/>
          <w:color w:val="000000"/>
          <w:szCs w:val="24"/>
        </w:rPr>
        <w:t>和</w:t>
      </w:r>
      <w:r w:rsidR="003947D0" w:rsidRPr="00034F2D">
        <w:rPr>
          <w:rFonts w:ascii="Times New Roman" w:hAnsi="Times New Roman" w:cs="Times New Roman"/>
          <w:color w:val="000000"/>
          <w:szCs w:val="24"/>
        </w:rPr>
        <w:t>一項</w:t>
      </w:r>
      <w:r w:rsidR="003947D0" w:rsidRPr="00034F2D">
        <w:rPr>
          <w:rFonts w:ascii="Times New Roman" w:hAnsi="Times New Roman" w:cs="Times New Roman"/>
          <w:color w:val="000000"/>
          <w:szCs w:val="24"/>
        </w:rPr>
        <w:t>4</w:t>
      </w:r>
      <w:r w:rsidR="003947D0" w:rsidRPr="00034F2D">
        <w:rPr>
          <w:rFonts w:ascii="Times New Roman" w:hAnsi="Times New Roman" w:cs="Times New Roman"/>
          <w:color w:val="000000"/>
          <w:szCs w:val="24"/>
        </w:rPr>
        <w:t>月</w:t>
      </w:r>
      <w:r w:rsidR="003947D0" w:rsidRPr="00034F2D">
        <w:rPr>
          <w:rFonts w:ascii="Times New Roman" w:hAnsi="Times New Roman" w:cs="Times New Roman"/>
          <w:color w:val="000000"/>
          <w:szCs w:val="24"/>
        </w:rPr>
        <w:t>3</w:t>
      </w:r>
      <w:r w:rsidR="003947D0" w:rsidRPr="00034F2D">
        <w:rPr>
          <w:rFonts w:ascii="Times New Roman" w:hAnsi="Times New Roman" w:cs="Times New Roman"/>
          <w:color w:val="000000"/>
          <w:szCs w:val="24"/>
        </w:rPr>
        <w:t>日第</w:t>
      </w:r>
      <w:r w:rsidR="003947D0" w:rsidRPr="00034F2D">
        <w:rPr>
          <w:rFonts w:ascii="Times New Roman" w:hAnsi="Times New Roman" w:cs="Times New Roman"/>
          <w:color w:val="000000"/>
          <w:szCs w:val="24"/>
        </w:rPr>
        <w:t>2/2006</w:t>
      </w:r>
      <w:r w:rsidR="003947D0" w:rsidRPr="00034F2D">
        <w:rPr>
          <w:rFonts w:ascii="Times New Roman" w:hAnsi="Times New Roman" w:cs="Times New Roman"/>
          <w:color w:val="000000"/>
          <w:szCs w:val="24"/>
        </w:rPr>
        <w:t>號法律第</w:t>
      </w:r>
      <w:r w:rsidR="003947D0" w:rsidRPr="00034F2D">
        <w:rPr>
          <w:rFonts w:ascii="Times New Roman" w:hAnsi="Times New Roman" w:cs="Times New Roman"/>
          <w:color w:val="000000"/>
          <w:szCs w:val="24"/>
        </w:rPr>
        <w:t>3</w:t>
      </w:r>
      <w:r w:rsidR="003947D0" w:rsidRPr="00034F2D">
        <w:rPr>
          <w:rFonts w:ascii="Times New Roman" w:hAnsi="Times New Roman" w:cs="Times New Roman"/>
          <w:color w:val="000000"/>
          <w:szCs w:val="24"/>
        </w:rPr>
        <w:t>條第</w:t>
      </w:r>
      <w:r w:rsidR="003947D0" w:rsidRPr="00034F2D">
        <w:rPr>
          <w:rFonts w:ascii="Times New Roman" w:hAnsi="Times New Roman" w:cs="Times New Roman"/>
          <w:color w:val="000000"/>
          <w:szCs w:val="24"/>
        </w:rPr>
        <w:t>2</w:t>
      </w:r>
      <w:r w:rsidR="003947D0" w:rsidRPr="00034F2D">
        <w:rPr>
          <w:rFonts w:ascii="Times New Roman" w:hAnsi="Times New Roman" w:cs="Times New Roman"/>
          <w:color w:val="000000"/>
          <w:szCs w:val="24"/>
        </w:rPr>
        <w:t>款及第</w:t>
      </w:r>
      <w:r w:rsidR="003947D0" w:rsidRPr="00034F2D">
        <w:rPr>
          <w:rFonts w:ascii="Times New Roman" w:hAnsi="Times New Roman" w:cs="Times New Roman"/>
          <w:color w:val="000000"/>
          <w:szCs w:val="24"/>
        </w:rPr>
        <w:t>3</w:t>
      </w:r>
      <w:r w:rsidR="003947D0" w:rsidRPr="00034F2D">
        <w:rPr>
          <w:rFonts w:ascii="Times New Roman" w:hAnsi="Times New Roman" w:cs="Times New Roman"/>
          <w:color w:val="000000"/>
          <w:szCs w:val="24"/>
        </w:rPr>
        <w:t>款所規定和處罰的清洗黑錢罪。兩罪</w:t>
      </w:r>
      <w:proofErr w:type="gramStart"/>
      <w:r w:rsidR="003947D0" w:rsidRPr="00034F2D">
        <w:rPr>
          <w:rFonts w:ascii="Times New Roman" w:hAnsi="Times New Roman" w:cs="Times New Roman"/>
          <w:color w:val="000000"/>
          <w:szCs w:val="24"/>
        </w:rPr>
        <w:t>併</w:t>
      </w:r>
      <w:proofErr w:type="gramEnd"/>
      <w:r w:rsidR="003947D0" w:rsidRPr="00034F2D">
        <w:rPr>
          <w:rFonts w:ascii="Times New Roman" w:hAnsi="Times New Roman" w:cs="Times New Roman"/>
          <w:color w:val="000000"/>
          <w:szCs w:val="24"/>
        </w:rPr>
        <w:t>罰，</w:t>
      </w:r>
      <w:r w:rsidR="005624A3" w:rsidRPr="00034F2D">
        <w:rPr>
          <w:rFonts w:ascii="Times New Roman" w:hAnsi="Times New Roman" w:cs="Times New Roman"/>
          <w:color w:val="000000"/>
          <w:szCs w:val="24"/>
        </w:rPr>
        <w:t>劉鑾雄</w:t>
      </w:r>
      <w:r w:rsidR="003947D0" w:rsidRPr="00034F2D">
        <w:rPr>
          <w:rFonts w:ascii="Times New Roman" w:hAnsi="Times New Roman" w:cs="Times New Roman"/>
          <w:color w:val="000000"/>
          <w:szCs w:val="24"/>
        </w:rPr>
        <w:t>合共</w:t>
      </w:r>
      <w:r w:rsidR="005624A3" w:rsidRPr="00034F2D">
        <w:rPr>
          <w:rFonts w:ascii="Times New Roman" w:hAnsi="Times New Roman" w:cs="Times New Roman"/>
          <w:color w:val="000000"/>
          <w:szCs w:val="24"/>
        </w:rPr>
        <w:t>被</w:t>
      </w:r>
      <w:r w:rsidR="003947D0" w:rsidRPr="00034F2D">
        <w:rPr>
          <w:rFonts w:ascii="Times New Roman" w:hAnsi="Times New Roman" w:cs="Times New Roman"/>
          <w:color w:val="000000"/>
          <w:szCs w:val="24"/>
        </w:rPr>
        <w:t>判處</w:t>
      </w:r>
      <w:r w:rsidR="003947D0" w:rsidRPr="00034F2D">
        <w:rPr>
          <w:rFonts w:ascii="Times New Roman" w:hAnsi="Times New Roman" w:cs="Times New Roman"/>
          <w:color w:val="000000"/>
          <w:szCs w:val="24"/>
        </w:rPr>
        <w:t>5</w:t>
      </w:r>
      <w:r w:rsidR="003947D0" w:rsidRPr="00034F2D">
        <w:rPr>
          <w:rFonts w:ascii="Times New Roman" w:hAnsi="Times New Roman" w:cs="Times New Roman"/>
          <w:color w:val="000000"/>
          <w:szCs w:val="24"/>
        </w:rPr>
        <w:t>年</w:t>
      </w:r>
      <w:r w:rsidR="003947D0" w:rsidRPr="00034F2D">
        <w:rPr>
          <w:rFonts w:ascii="Times New Roman" w:hAnsi="Times New Roman" w:cs="Times New Roman"/>
          <w:color w:val="000000"/>
          <w:szCs w:val="24"/>
        </w:rPr>
        <w:t>3</w:t>
      </w:r>
      <w:r w:rsidR="003947D0" w:rsidRPr="00034F2D">
        <w:rPr>
          <w:rFonts w:ascii="Times New Roman" w:hAnsi="Times New Roman" w:cs="Times New Roman"/>
          <w:color w:val="000000"/>
          <w:szCs w:val="24"/>
        </w:rPr>
        <w:t>個月</w:t>
      </w:r>
      <w:r w:rsidR="005624A3" w:rsidRPr="00034F2D">
        <w:rPr>
          <w:rFonts w:ascii="Times New Roman" w:hAnsi="Times New Roman" w:cs="Times New Roman"/>
          <w:color w:val="000000"/>
          <w:szCs w:val="24"/>
        </w:rPr>
        <w:t>的</w:t>
      </w:r>
      <w:r w:rsidR="003947D0" w:rsidRPr="00034F2D">
        <w:rPr>
          <w:rFonts w:ascii="Times New Roman" w:hAnsi="Times New Roman" w:cs="Times New Roman"/>
          <w:color w:val="000000"/>
          <w:szCs w:val="24"/>
        </w:rPr>
        <w:t>實際徒刑。</w:t>
      </w:r>
    </w:p>
    <w:p w:rsidR="005624A3" w:rsidRPr="00034F2D" w:rsidRDefault="005624A3" w:rsidP="00034F2D">
      <w:pPr>
        <w:spacing w:line="480" w:lineRule="exact"/>
        <w:ind w:firstLineChars="200" w:firstLine="480"/>
        <w:jc w:val="both"/>
        <w:rPr>
          <w:rFonts w:ascii="Times New Roman" w:hAnsi="Times New Roman" w:cs="Times New Roman"/>
          <w:szCs w:val="24"/>
        </w:rPr>
      </w:pPr>
      <w:r w:rsidRPr="00034F2D">
        <w:rPr>
          <w:rFonts w:ascii="Times New Roman" w:hAnsi="Times New Roman" w:cs="Times New Roman"/>
          <w:szCs w:val="24"/>
        </w:rPr>
        <w:t>判決轉為確定之後，劉鑾雄提起了再審上訴，指出他於近日獲悉，前運輸工務司司長歐文龍在其本人為被告的終審法院第</w:t>
      </w:r>
      <w:r w:rsidRPr="00034F2D">
        <w:rPr>
          <w:rFonts w:ascii="Times New Roman" w:hAnsi="Times New Roman" w:cs="Times New Roman"/>
          <w:szCs w:val="24"/>
        </w:rPr>
        <w:t>37/2011</w:t>
      </w:r>
      <w:r w:rsidRPr="00034F2D">
        <w:rPr>
          <w:rFonts w:ascii="Times New Roman" w:hAnsi="Times New Roman" w:cs="Times New Roman"/>
          <w:szCs w:val="24"/>
        </w:rPr>
        <w:t>號案的庭審過程中，曾清楚確鑿地向</w:t>
      </w:r>
      <w:r w:rsidR="00AC3723" w:rsidRPr="00034F2D">
        <w:rPr>
          <w:rFonts w:ascii="Times New Roman" w:hAnsi="Times New Roman" w:cs="Times New Roman"/>
          <w:szCs w:val="24"/>
        </w:rPr>
        <w:t>法庭</w:t>
      </w:r>
      <w:r w:rsidRPr="00034F2D">
        <w:rPr>
          <w:rFonts w:ascii="Times New Roman" w:hAnsi="Times New Roman" w:cs="Times New Roman"/>
          <w:szCs w:val="24"/>
        </w:rPr>
        <w:t>作出過以下聲明：</w:t>
      </w:r>
      <w:r w:rsidR="00AC3723" w:rsidRPr="00034F2D">
        <w:rPr>
          <w:rFonts w:ascii="Times New Roman" w:hAnsi="Times New Roman" w:cs="Times New Roman"/>
          <w:szCs w:val="24"/>
        </w:rPr>
        <w:t>劉鑾雄從未向其行賄，而他本人也</w:t>
      </w:r>
      <w:r w:rsidRPr="00034F2D">
        <w:rPr>
          <w:rFonts w:ascii="Times New Roman" w:hAnsi="Times New Roman" w:cs="Times New Roman"/>
          <w:szCs w:val="24"/>
        </w:rPr>
        <w:t>從未收受劉鑾雄給予的任何利益；</w:t>
      </w:r>
      <w:r w:rsidR="00AC3723" w:rsidRPr="00034F2D">
        <w:rPr>
          <w:rFonts w:ascii="Times New Roman" w:hAnsi="Times New Roman" w:cs="Times New Roman"/>
          <w:szCs w:val="24"/>
        </w:rPr>
        <w:t>他與劉鑾雄之間除了一兩次偶然的接觸之外並沒有任何</w:t>
      </w:r>
      <w:r w:rsidRPr="00034F2D">
        <w:rPr>
          <w:rFonts w:ascii="Times New Roman" w:hAnsi="Times New Roman" w:cs="Times New Roman"/>
          <w:szCs w:val="24"/>
        </w:rPr>
        <w:t>往</w:t>
      </w:r>
      <w:r w:rsidR="00AC3723" w:rsidRPr="00034F2D">
        <w:rPr>
          <w:rFonts w:ascii="Times New Roman" w:hAnsi="Times New Roman" w:cs="Times New Roman"/>
          <w:szCs w:val="24"/>
        </w:rPr>
        <w:t>來</w:t>
      </w:r>
      <w:r w:rsidRPr="00034F2D">
        <w:rPr>
          <w:rFonts w:ascii="Times New Roman" w:hAnsi="Times New Roman" w:cs="Times New Roman"/>
          <w:szCs w:val="24"/>
        </w:rPr>
        <w:t>；他與劉鑾雄之間</w:t>
      </w:r>
      <w:r w:rsidR="00AC3723" w:rsidRPr="00034F2D">
        <w:rPr>
          <w:rFonts w:ascii="Times New Roman" w:hAnsi="Times New Roman" w:cs="Times New Roman"/>
          <w:szCs w:val="24"/>
        </w:rPr>
        <w:t>從來</w:t>
      </w:r>
      <w:r w:rsidRPr="00034F2D">
        <w:rPr>
          <w:rFonts w:ascii="Times New Roman" w:hAnsi="Times New Roman" w:cs="Times New Roman"/>
          <w:szCs w:val="24"/>
        </w:rPr>
        <w:t>沒有任何利益交換；向</w:t>
      </w:r>
      <w:proofErr w:type="spellStart"/>
      <w:r w:rsidRPr="00AB18A3">
        <w:rPr>
          <w:rFonts w:ascii="Times New Roman" w:hAnsi="Times New Roman" w:cs="Times New Roman"/>
          <w:i/>
          <w:szCs w:val="24"/>
        </w:rPr>
        <w:t>Ecoline</w:t>
      </w:r>
      <w:proofErr w:type="spellEnd"/>
      <w:r w:rsidRPr="00AB18A3">
        <w:rPr>
          <w:rFonts w:ascii="Times New Roman" w:hAnsi="Times New Roman" w:cs="Times New Roman"/>
          <w:i/>
          <w:szCs w:val="24"/>
        </w:rPr>
        <w:t xml:space="preserve"> Property Limited</w:t>
      </w:r>
      <w:r w:rsidRPr="00034F2D">
        <w:rPr>
          <w:rFonts w:ascii="Times New Roman" w:hAnsi="Times New Roman" w:cs="Times New Roman"/>
          <w:szCs w:val="24"/>
        </w:rPr>
        <w:t>支付的</w:t>
      </w:r>
      <w:r w:rsidRPr="00034F2D">
        <w:rPr>
          <w:rFonts w:ascii="Times New Roman" w:hAnsi="Times New Roman" w:cs="Times New Roman"/>
          <w:szCs w:val="24"/>
        </w:rPr>
        <w:t>20,000,000.00</w:t>
      </w:r>
      <w:r w:rsidRPr="00034F2D">
        <w:rPr>
          <w:rFonts w:ascii="Times New Roman" w:hAnsi="Times New Roman" w:cs="Times New Roman"/>
          <w:szCs w:val="24"/>
        </w:rPr>
        <w:t>港元是何明輝透過新</w:t>
      </w:r>
      <w:bookmarkStart w:id="0" w:name="_GoBack"/>
      <w:bookmarkEnd w:id="0"/>
      <w:r w:rsidRPr="00034F2D">
        <w:rPr>
          <w:rFonts w:ascii="Times New Roman" w:hAnsi="Times New Roman" w:cs="Times New Roman"/>
          <w:szCs w:val="24"/>
        </w:rPr>
        <w:t>明輝公司向</w:t>
      </w:r>
      <w:proofErr w:type="spellStart"/>
      <w:r w:rsidRPr="00AB18A3">
        <w:rPr>
          <w:rFonts w:ascii="Times New Roman" w:hAnsi="Times New Roman" w:cs="Times New Roman"/>
          <w:i/>
          <w:szCs w:val="24"/>
        </w:rPr>
        <w:t>Ecoline</w:t>
      </w:r>
      <w:proofErr w:type="spellEnd"/>
      <w:r w:rsidRPr="00034F2D">
        <w:rPr>
          <w:rFonts w:ascii="Times New Roman" w:hAnsi="Times New Roman" w:cs="Times New Roman"/>
          <w:szCs w:val="24"/>
        </w:rPr>
        <w:t>償還的欠款而不是所謂的賄款。</w:t>
      </w:r>
      <w:r w:rsidR="00AC3723" w:rsidRPr="00034F2D">
        <w:rPr>
          <w:rFonts w:ascii="Times New Roman" w:hAnsi="Times New Roman" w:cs="Times New Roman"/>
          <w:szCs w:val="24"/>
        </w:rPr>
        <w:t>上訴人指出，</w:t>
      </w:r>
      <w:r w:rsidRPr="00034F2D">
        <w:rPr>
          <w:rFonts w:ascii="Times New Roman" w:hAnsi="Times New Roman" w:cs="Times New Roman"/>
          <w:szCs w:val="24"/>
        </w:rPr>
        <w:t>這些聲明</w:t>
      </w:r>
      <w:r w:rsidR="00AC3723" w:rsidRPr="00034F2D">
        <w:rPr>
          <w:rFonts w:ascii="Times New Roman" w:hAnsi="Times New Roman" w:cs="Times New Roman"/>
          <w:szCs w:val="24"/>
        </w:rPr>
        <w:t>在</w:t>
      </w:r>
      <w:r w:rsidR="00FD6F2B" w:rsidRPr="00034F2D">
        <w:rPr>
          <w:rFonts w:ascii="Times New Roman" w:hAnsi="Times New Roman" w:cs="Times New Roman"/>
          <w:szCs w:val="24"/>
        </w:rPr>
        <w:t>初級法院的</w:t>
      </w:r>
      <w:r w:rsidR="00AC3723" w:rsidRPr="00034F2D">
        <w:rPr>
          <w:rFonts w:ascii="Times New Roman" w:hAnsi="Times New Roman" w:cs="Times New Roman"/>
          <w:szCs w:val="24"/>
        </w:rPr>
        <w:t>本案庭審</w:t>
      </w:r>
      <w:r w:rsidRPr="00034F2D">
        <w:rPr>
          <w:rFonts w:ascii="Times New Roman" w:hAnsi="Times New Roman" w:cs="Times New Roman"/>
          <w:szCs w:val="24"/>
        </w:rPr>
        <w:t>中</w:t>
      </w:r>
      <w:r w:rsidR="00AC3723" w:rsidRPr="00034F2D">
        <w:rPr>
          <w:rFonts w:ascii="Times New Roman" w:hAnsi="Times New Roman" w:cs="Times New Roman"/>
          <w:szCs w:val="24"/>
        </w:rPr>
        <w:t>並</w:t>
      </w:r>
      <w:r w:rsidRPr="00034F2D">
        <w:rPr>
          <w:rFonts w:ascii="Times New Roman" w:hAnsi="Times New Roman" w:cs="Times New Roman"/>
          <w:szCs w:val="24"/>
        </w:rPr>
        <w:t>沒有</w:t>
      </w:r>
      <w:r w:rsidR="00AC3723" w:rsidRPr="00034F2D">
        <w:rPr>
          <w:rFonts w:ascii="Times New Roman" w:hAnsi="Times New Roman" w:cs="Times New Roman"/>
          <w:szCs w:val="24"/>
        </w:rPr>
        <w:t>作為證據</w:t>
      </w:r>
      <w:r w:rsidRPr="00034F2D">
        <w:rPr>
          <w:rFonts w:ascii="Times New Roman" w:hAnsi="Times New Roman" w:cs="Times New Roman"/>
          <w:szCs w:val="24"/>
        </w:rPr>
        <w:t>被調查，</w:t>
      </w:r>
      <w:r w:rsidR="00AC3723" w:rsidRPr="00034F2D">
        <w:rPr>
          <w:rFonts w:ascii="Times New Roman" w:hAnsi="Times New Roman" w:cs="Times New Roman"/>
          <w:szCs w:val="24"/>
        </w:rPr>
        <w:t>而</w:t>
      </w:r>
      <w:r w:rsidRPr="00034F2D">
        <w:rPr>
          <w:rFonts w:ascii="Times New Roman" w:hAnsi="Times New Roman" w:cs="Times New Roman"/>
          <w:szCs w:val="24"/>
        </w:rPr>
        <w:t>在作出判決時</w:t>
      </w:r>
      <w:r w:rsidR="00AC3723" w:rsidRPr="00034F2D">
        <w:rPr>
          <w:rFonts w:ascii="Times New Roman" w:hAnsi="Times New Roman" w:cs="Times New Roman"/>
          <w:szCs w:val="24"/>
        </w:rPr>
        <w:t>也沒有</w:t>
      </w:r>
      <w:r w:rsidRPr="00034F2D">
        <w:rPr>
          <w:rFonts w:ascii="Times New Roman" w:hAnsi="Times New Roman" w:cs="Times New Roman"/>
          <w:szCs w:val="24"/>
        </w:rPr>
        <w:t>被考慮，屬於上訴人嗣後知悉的新證據方法，其內容足以</w:t>
      </w:r>
      <w:r w:rsidR="004A036C" w:rsidRPr="00034F2D">
        <w:rPr>
          <w:rFonts w:ascii="Times New Roman" w:hAnsi="Times New Roman" w:cs="Times New Roman"/>
          <w:szCs w:val="24"/>
        </w:rPr>
        <w:t>推翻在原審</w:t>
      </w:r>
      <w:r w:rsidRPr="00034F2D">
        <w:rPr>
          <w:rFonts w:ascii="Times New Roman" w:hAnsi="Times New Roman" w:cs="Times New Roman"/>
          <w:szCs w:val="24"/>
        </w:rPr>
        <w:t>判決</w:t>
      </w:r>
      <w:r w:rsidR="004A036C" w:rsidRPr="00034F2D">
        <w:rPr>
          <w:rFonts w:ascii="Times New Roman" w:hAnsi="Times New Roman" w:cs="Times New Roman"/>
          <w:szCs w:val="24"/>
        </w:rPr>
        <w:t>中</w:t>
      </w:r>
      <w:r w:rsidR="00943DE1" w:rsidRPr="00034F2D">
        <w:rPr>
          <w:rFonts w:ascii="Times New Roman" w:hAnsi="Times New Roman" w:cs="Times New Roman"/>
          <w:szCs w:val="24"/>
        </w:rPr>
        <w:t>獲</w:t>
      </w:r>
      <w:r w:rsidR="004A036C" w:rsidRPr="00034F2D">
        <w:rPr>
          <w:rFonts w:ascii="Times New Roman" w:hAnsi="Times New Roman" w:cs="Times New Roman"/>
          <w:szCs w:val="24"/>
        </w:rPr>
        <w:t>認定的</w:t>
      </w:r>
      <w:r w:rsidR="00943DE1" w:rsidRPr="00034F2D">
        <w:rPr>
          <w:rFonts w:ascii="Times New Roman" w:hAnsi="Times New Roman" w:cs="Times New Roman"/>
          <w:szCs w:val="24"/>
        </w:rPr>
        <w:t>、作為裁定其有罪之基礎的</w:t>
      </w:r>
      <w:r w:rsidR="004A036C" w:rsidRPr="00034F2D">
        <w:rPr>
          <w:rFonts w:ascii="Times New Roman" w:hAnsi="Times New Roman" w:cs="Times New Roman"/>
          <w:szCs w:val="24"/>
        </w:rPr>
        <w:t>大部分事實，因此</w:t>
      </w:r>
      <w:r w:rsidRPr="00034F2D">
        <w:rPr>
          <w:rFonts w:ascii="Times New Roman" w:hAnsi="Times New Roman" w:cs="Times New Roman"/>
          <w:szCs w:val="24"/>
        </w:rPr>
        <w:t>請求法院對案件作出再審。</w:t>
      </w:r>
    </w:p>
    <w:p w:rsidR="00AC3723" w:rsidRPr="00034F2D" w:rsidRDefault="005624A3" w:rsidP="00034F2D">
      <w:pPr>
        <w:spacing w:line="480" w:lineRule="exact"/>
        <w:ind w:firstLineChars="200" w:firstLine="480"/>
        <w:jc w:val="both"/>
        <w:rPr>
          <w:rFonts w:ascii="Times New Roman" w:hAnsi="Times New Roman" w:cs="Times New Roman"/>
          <w:color w:val="000000" w:themeColor="text1"/>
          <w:szCs w:val="24"/>
        </w:rPr>
      </w:pPr>
      <w:r w:rsidRPr="00034F2D">
        <w:rPr>
          <w:rFonts w:ascii="Times New Roman" w:hAnsi="Times New Roman" w:cs="Times New Roman"/>
          <w:szCs w:val="24"/>
        </w:rPr>
        <w:t>中級法院對</w:t>
      </w:r>
      <w:r w:rsidR="00AC3723" w:rsidRPr="00034F2D">
        <w:rPr>
          <w:rFonts w:ascii="Times New Roman" w:hAnsi="Times New Roman" w:cs="Times New Roman"/>
          <w:szCs w:val="24"/>
        </w:rPr>
        <w:t>上訴案</w:t>
      </w:r>
      <w:r w:rsidRPr="00034F2D">
        <w:rPr>
          <w:rFonts w:ascii="Times New Roman" w:hAnsi="Times New Roman" w:cs="Times New Roman"/>
          <w:szCs w:val="24"/>
        </w:rPr>
        <w:t>作出審理。</w:t>
      </w:r>
    </w:p>
    <w:p w:rsidR="00B0487C" w:rsidRPr="00034F2D" w:rsidRDefault="005624A3" w:rsidP="00034F2D">
      <w:pPr>
        <w:spacing w:line="480" w:lineRule="exact"/>
        <w:ind w:firstLineChars="200" w:firstLine="480"/>
        <w:jc w:val="both"/>
        <w:rPr>
          <w:rFonts w:ascii="Times New Roman" w:hAnsi="Times New Roman" w:cs="Times New Roman"/>
          <w:szCs w:val="24"/>
        </w:rPr>
      </w:pPr>
      <w:r w:rsidRPr="00034F2D">
        <w:rPr>
          <w:rStyle w:val="a3"/>
          <w:rFonts w:ascii="Times New Roman" w:hAnsi="Times New Roman" w:cs="Times New Roman"/>
          <w:b w:val="0"/>
          <w:color w:val="000000" w:themeColor="text1"/>
          <w:szCs w:val="24"/>
        </w:rPr>
        <w:t>合議庭指出，</w:t>
      </w:r>
      <w:r w:rsidRPr="00034F2D">
        <w:rPr>
          <w:rFonts w:ascii="Times New Roman" w:hAnsi="Times New Roman" w:cs="Times New Roman"/>
          <w:szCs w:val="24"/>
        </w:rPr>
        <w:t>上訴人</w:t>
      </w:r>
      <w:r w:rsidR="00E54271" w:rsidRPr="00034F2D">
        <w:rPr>
          <w:rFonts w:ascii="Times New Roman" w:hAnsi="Times New Roman" w:cs="Times New Roman"/>
          <w:szCs w:val="24"/>
        </w:rPr>
        <w:t>申請</w:t>
      </w:r>
      <w:r w:rsidRPr="00034F2D">
        <w:rPr>
          <w:rFonts w:ascii="Times New Roman" w:hAnsi="Times New Roman" w:cs="Times New Roman"/>
          <w:szCs w:val="24"/>
        </w:rPr>
        <w:t>再審的依據是《刑事訴訟法典》第</w:t>
      </w:r>
      <w:r w:rsidRPr="00034F2D">
        <w:rPr>
          <w:rFonts w:ascii="Times New Roman" w:hAnsi="Times New Roman" w:cs="Times New Roman"/>
          <w:szCs w:val="24"/>
        </w:rPr>
        <w:t>431</w:t>
      </w:r>
      <w:r w:rsidRPr="00034F2D">
        <w:rPr>
          <w:rFonts w:ascii="Times New Roman" w:hAnsi="Times New Roman" w:cs="Times New Roman"/>
          <w:szCs w:val="24"/>
        </w:rPr>
        <w:t>條第</w:t>
      </w:r>
      <w:r w:rsidRPr="00034F2D">
        <w:rPr>
          <w:rFonts w:ascii="Times New Roman" w:hAnsi="Times New Roman" w:cs="Times New Roman"/>
          <w:szCs w:val="24"/>
        </w:rPr>
        <w:t>1</w:t>
      </w:r>
      <w:r w:rsidRPr="00034F2D">
        <w:rPr>
          <w:rFonts w:ascii="Times New Roman" w:hAnsi="Times New Roman" w:cs="Times New Roman"/>
          <w:szCs w:val="24"/>
        </w:rPr>
        <w:t>款</w:t>
      </w:r>
      <w:r w:rsidRPr="00034F2D">
        <w:rPr>
          <w:rFonts w:ascii="Times New Roman" w:hAnsi="Times New Roman" w:cs="Times New Roman"/>
          <w:szCs w:val="24"/>
        </w:rPr>
        <w:t>d</w:t>
      </w:r>
      <w:r w:rsidRPr="00034F2D">
        <w:rPr>
          <w:rFonts w:ascii="Times New Roman" w:hAnsi="Times New Roman" w:cs="Times New Roman"/>
          <w:szCs w:val="24"/>
        </w:rPr>
        <w:t>項的規定，根據該</w:t>
      </w:r>
      <w:r w:rsidR="00E54271" w:rsidRPr="00034F2D">
        <w:rPr>
          <w:rFonts w:ascii="Times New Roman" w:hAnsi="Times New Roman" w:cs="Times New Roman"/>
          <w:szCs w:val="24"/>
        </w:rPr>
        <w:t>項</w:t>
      </w:r>
      <w:r w:rsidRPr="00034F2D">
        <w:rPr>
          <w:rFonts w:ascii="Times New Roman" w:hAnsi="Times New Roman" w:cs="Times New Roman"/>
          <w:szCs w:val="24"/>
        </w:rPr>
        <w:t>，當</w:t>
      </w:r>
      <w:r w:rsidRPr="00034F2D">
        <w:rPr>
          <w:rFonts w:ascii="Times New Roman" w:hAnsi="Times New Roman" w:cs="Times New Roman"/>
          <w:szCs w:val="24"/>
        </w:rPr>
        <w:t>“</w:t>
      </w:r>
      <w:r w:rsidRPr="00034F2D">
        <w:rPr>
          <w:rFonts w:ascii="Times New Roman" w:hAnsi="Times New Roman" w:cs="Times New Roman"/>
          <w:color w:val="000000"/>
          <w:szCs w:val="24"/>
        </w:rPr>
        <w:t>發現新事實或證據，而單憑該等事實或證據本身，或與有關訴訟程序中曾被審查之其他事實或證據相結合後，使人非常懷疑判罪是否公正</w:t>
      </w:r>
      <w:r w:rsidRPr="00034F2D">
        <w:rPr>
          <w:rFonts w:ascii="Times New Roman" w:hAnsi="Times New Roman" w:cs="Times New Roman"/>
          <w:color w:val="000000"/>
          <w:szCs w:val="24"/>
        </w:rPr>
        <w:t>”</w:t>
      </w:r>
      <w:r w:rsidRPr="00034F2D">
        <w:rPr>
          <w:rFonts w:ascii="Times New Roman" w:hAnsi="Times New Roman" w:cs="Times New Roman"/>
          <w:color w:val="000000"/>
          <w:szCs w:val="24"/>
        </w:rPr>
        <w:t>時，可對確定判決進行再審</w:t>
      </w:r>
      <w:r w:rsidRPr="00034F2D">
        <w:rPr>
          <w:rFonts w:ascii="Times New Roman" w:hAnsi="Times New Roman" w:cs="Times New Roman"/>
          <w:szCs w:val="24"/>
          <w:lang w:val="pt-PT"/>
        </w:rPr>
        <w:t>。</w:t>
      </w:r>
      <w:r w:rsidRPr="00034F2D">
        <w:rPr>
          <w:rFonts w:ascii="Times New Roman" w:hAnsi="Times New Roman" w:cs="Times New Roman"/>
          <w:color w:val="000000" w:themeColor="text1"/>
          <w:szCs w:val="24"/>
        </w:rPr>
        <w:t>然而實際上，</w:t>
      </w:r>
      <w:r w:rsidR="00943DE1" w:rsidRPr="00034F2D">
        <w:rPr>
          <w:rFonts w:ascii="Times New Roman" w:hAnsi="Times New Roman" w:cs="Times New Roman"/>
          <w:color w:val="000000" w:themeColor="text1"/>
          <w:szCs w:val="24"/>
        </w:rPr>
        <w:t>上訴人擬通過</w:t>
      </w:r>
      <w:r w:rsidR="00E54271" w:rsidRPr="00034F2D">
        <w:rPr>
          <w:rFonts w:ascii="Times New Roman" w:hAnsi="Times New Roman" w:cs="Times New Roman"/>
          <w:color w:val="000000" w:themeColor="text1"/>
          <w:szCs w:val="24"/>
        </w:rPr>
        <w:t>列舉上述聲明予以</w:t>
      </w:r>
      <w:r w:rsidRPr="00034F2D">
        <w:rPr>
          <w:rFonts w:ascii="Times New Roman" w:hAnsi="Times New Roman" w:cs="Times New Roman"/>
          <w:color w:val="000000" w:themeColor="text1"/>
          <w:szCs w:val="24"/>
        </w:rPr>
        <w:t>推翻的事實都已經在他所援引的</w:t>
      </w:r>
      <w:r w:rsidRPr="00034F2D">
        <w:rPr>
          <w:rFonts w:ascii="Times New Roman" w:hAnsi="Times New Roman" w:cs="Times New Roman"/>
          <w:szCs w:val="24"/>
        </w:rPr>
        <w:t>前運輸工務司司長歐文龍為被告的終審法院第</w:t>
      </w:r>
      <w:r w:rsidRPr="00034F2D">
        <w:rPr>
          <w:rFonts w:ascii="Times New Roman" w:hAnsi="Times New Roman" w:cs="Times New Roman"/>
          <w:szCs w:val="24"/>
        </w:rPr>
        <w:t>37/2011</w:t>
      </w:r>
      <w:r w:rsidRPr="00034F2D">
        <w:rPr>
          <w:rFonts w:ascii="Times New Roman" w:hAnsi="Times New Roman" w:cs="Times New Roman"/>
          <w:szCs w:val="24"/>
        </w:rPr>
        <w:t>號案件中被認定，被告歐文龍亦因該等事實而</w:t>
      </w:r>
      <w:r w:rsidR="00E54271" w:rsidRPr="00034F2D">
        <w:rPr>
          <w:rFonts w:ascii="Times New Roman" w:hAnsi="Times New Roman" w:cs="Times New Roman"/>
          <w:szCs w:val="24"/>
        </w:rPr>
        <w:t>被判處有罪並</w:t>
      </w:r>
      <w:r w:rsidRPr="00034F2D">
        <w:rPr>
          <w:rFonts w:ascii="Times New Roman" w:hAnsi="Times New Roman" w:cs="Times New Roman"/>
          <w:szCs w:val="24"/>
        </w:rPr>
        <w:t>獲刑</w:t>
      </w:r>
      <w:r w:rsidRPr="00034F2D">
        <w:rPr>
          <w:rFonts w:ascii="Times New Roman" w:hAnsi="Times New Roman" w:cs="Times New Roman"/>
          <w:szCs w:val="24"/>
          <w:lang w:val="pt-PT"/>
        </w:rPr>
        <w:t>。在這種情況下，宣稱</w:t>
      </w:r>
      <w:r w:rsidRPr="00034F2D">
        <w:rPr>
          <w:rFonts w:ascii="Times New Roman" w:hAnsi="Times New Roman" w:cs="Times New Roman"/>
          <w:szCs w:val="24"/>
        </w:rPr>
        <w:t>裁定上訴人有罪之判決的公正性存有疑問是不合理的</w:t>
      </w:r>
      <w:r w:rsidR="00E54271" w:rsidRPr="00034F2D">
        <w:rPr>
          <w:rFonts w:ascii="Times New Roman" w:hAnsi="Times New Roman" w:cs="Times New Roman"/>
          <w:szCs w:val="24"/>
        </w:rPr>
        <w:t>，更加談不到嚴重疑問</w:t>
      </w:r>
      <w:r w:rsidRPr="00034F2D">
        <w:rPr>
          <w:rFonts w:ascii="Times New Roman" w:hAnsi="Times New Roman" w:cs="Times New Roman"/>
          <w:szCs w:val="24"/>
        </w:rPr>
        <w:t>。</w:t>
      </w:r>
    </w:p>
    <w:p w:rsidR="005624A3" w:rsidRPr="00034F2D" w:rsidRDefault="00E54271" w:rsidP="00034F2D">
      <w:pPr>
        <w:spacing w:line="480" w:lineRule="exact"/>
        <w:ind w:firstLineChars="200" w:firstLine="480"/>
        <w:jc w:val="both"/>
        <w:rPr>
          <w:rFonts w:ascii="Times New Roman" w:hAnsi="Times New Roman" w:cs="Times New Roman"/>
          <w:szCs w:val="24"/>
        </w:rPr>
      </w:pPr>
      <w:r w:rsidRPr="00034F2D">
        <w:rPr>
          <w:rStyle w:val="a3"/>
          <w:rFonts w:ascii="Times New Roman" w:hAnsi="Times New Roman" w:cs="Times New Roman"/>
          <w:b w:val="0"/>
          <w:color w:val="000000" w:themeColor="text1"/>
          <w:szCs w:val="24"/>
        </w:rPr>
        <w:t>合議庭強調，</w:t>
      </w:r>
      <w:r w:rsidR="00B0487C" w:rsidRPr="00034F2D">
        <w:rPr>
          <w:rFonts w:ascii="Times New Roman" w:hAnsi="Times New Roman" w:cs="Times New Roman"/>
          <w:szCs w:val="24"/>
        </w:rPr>
        <w:t>再審上訴屬於</w:t>
      </w:r>
      <w:r w:rsidR="001F1662" w:rsidRPr="00034F2D">
        <w:rPr>
          <w:rFonts w:ascii="Times New Roman" w:hAnsi="Times New Roman" w:cs="Times New Roman"/>
          <w:szCs w:val="24"/>
        </w:rPr>
        <w:t>一項對已經轉為確定的判決提起上訴的</w:t>
      </w:r>
      <w:r w:rsidR="005624A3" w:rsidRPr="00034F2D">
        <w:rPr>
          <w:rFonts w:ascii="Times New Roman" w:hAnsi="Times New Roman" w:cs="Times New Roman"/>
          <w:szCs w:val="24"/>
        </w:rPr>
        <w:t>非常</w:t>
      </w:r>
      <w:r w:rsidR="001F1662" w:rsidRPr="00034F2D">
        <w:rPr>
          <w:rFonts w:ascii="Times New Roman" w:hAnsi="Times New Roman" w:cs="Times New Roman"/>
          <w:szCs w:val="24"/>
        </w:rPr>
        <w:t>機制</w:t>
      </w:r>
      <w:r w:rsidR="005624A3" w:rsidRPr="00034F2D">
        <w:rPr>
          <w:rFonts w:ascii="Times New Roman" w:hAnsi="Times New Roman" w:cs="Times New Roman"/>
          <w:szCs w:val="24"/>
        </w:rPr>
        <w:t>，</w:t>
      </w:r>
      <w:r w:rsidR="00B0487C" w:rsidRPr="00034F2D">
        <w:rPr>
          <w:rFonts w:ascii="Times New Roman" w:hAnsi="Times New Roman" w:cs="Times New Roman"/>
          <w:szCs w:val="24"/>
        </w:rPr>
        <w:t>它要求上訴人</w:t>
      </w:r>
      <w:r w:rsidR="005624A3" w:rsidRPr="00034F2D">
        <w:rPr>
          <w:rFonts w:ascii="Times New Roman" w:hAnsi="Times New Roman" w:cs="Times New Roman"/>
          <w:szCs w:val="24"/>
        </w:rPr>
        <w:t>提出的新事實或新證據方法</w:t>
      </w:r>
      <w:r w:rsidR="00365B85" w:rsidRPr="00034F2D">
        <w:rPr>
          <w:rFonts w:ascii="Times New Roman" w:hAnsi="Times New Roman" w:cs="Times New Roman"/>
          <w:szCs w:val="24"/>
        </w:rPr>
        <w:t>不論是在提出的時機和</w:t>
      </w:r>
      <w:proofErr w:type="gramStart"/>
      <w:r w:rsidR="00365B85" w:rsidRPr="00034F2D">
        <w:rPr>
          <w:rFonts w:ascii="Times New Roman" w:hAnsi="Times New Roman" w:cs="Times New Roman"/>
          <w:szCs w:val="24"/>
        </w:rPr>
        <w:t>初始性方面</w:t>
      </w:r>
      <w:proofErr w:type="gramEnd"/>
      <w:r w:rsidR="00365B85" w:rsidRPr="00034F2D">
        <w:rPr>
          <w:rFonts w:ascii="Times New Roman" w:hAnsi="Times New Roman" w:cs="Times New Roman"/>
          <w:szCs w:val="24"/>
        </w:rPr>
        <w:t>，還是在證據的無私性、真</w:t>
      </w:r>
      <w:r w:rsidR="00342200" w:rsidRPr="00034F2D">
        <w:rPr>
          <w:rFonts w:ascii="Times New Roman" w:hAnsi="Times New Roman" w:cs="Times New Roman"/>
          <w:szCs w:val="24"/>
        </w:rPr>
        <w:t>確</w:t>
      </w:r>
      <w:r w:rsidR="00365B85" w:rsidRPr="00034F2D">
        <w:rPr>
          <w:rFonts w:ascii="Times New Roman" w:hAnsi="Times New Roman" w:cs="Times New Roman"/>
          <w:szCs w:val="24"/>
        </w:rPr>
        <w:t>性及可信度方面，</w:t>
      </w:r>
      <w:r w:rsidR="00FD6F2B" w:rsidRPr="00034F2D">
        <w:rPr>
          <w:rFonts w:ascii="Times New Roman" w:hAnsi="Times New Roman" w:cs="Times New Roman"/>
          <w:szCs w:val="24"/>
        </w:rPr>
        <w:t>或者</w:t>
      </w:r>
      <w:r w:rsidR="00365B85" w:rsidRPr="00034F2D">
        <w:rPr>
          <w:rFonts w:ascii="Times New Roman" w:hAnsi="Times New Roman" w:cs="Times New Roman"/>
          <w:szCs w:val="24"/>
        </w:rPr>
        <w:t>從新事實的確切含義來看，抑或是出於任何其他可以接受的理由，都</w:t>
      </w:r>
      <w:r w:rsidR="007006AE" w:rsidRPr="00034F2D">
        <w:rPr>
          <w:rFonts w:ascii="Times New Roman" w:hAnsi="Times New Roman" w:cs="Times New Roman"/>
          <w:szCs w:val="24"/>
        </w:rPr>
        <w:t>具備相當的可靠性和重要性</w:t>
      </w:r>
      <w:r w:rsidR="00342200" w:rsidRPr="00034F2D">
        <w:rPr>
          <w:rFonts w:ascii="Times New Roman" w:hAnsi="Times New Roman" w:cs="Times New Roman"/>
          <w:szCs w:val="24"/>
        </w:rPr>
        <w:t>，從而確保在其基礎上重新作出的判斷不會輕易地面臨成為一項草率或荒唐決定的風險</w:t>
      </w:r>
      <w:r w:rsidR="00365B85" w:rsidRPr="00034F2D">
        <w:rPr>
          <w:rFonts w:ascii="Times New Roman" w:hAnsi="Times New Roman" w:cs="Times New Roman"/>
          <w:szCs w:val="24"/>
        </w:rPr>
        <w:t>。上訴人所提出的相關聲明</w:t>
      </w:r>
      <w:r w:rsidR="00342200" w:rsidRPr="00034F2D">
        <w:rPr>
          <w:rFonts w:ascii="Times New Roman" w:hAnsi="Times New Roman" w:cs="Times New Roman"/>
          <w:szCs w:val="24"/>
        </w:rPr>
        <w:t>顯然並</w:t>
      </w:r>
      <w:r w:rsidR="00365B85" w:rsidRPr="00034F2D">
        <w:rPr>
          <w:rFonts w:ascii="Times New Roman" w:hAnsi="Times New Roman" w:cs="Times New Roman"/>
          <w:szCs w:val="24"/>
        </w:rPr>
        <w:t>不滿足這些</w:t>
      </w:r>
      <w:r w:rsidR="00342200" w:rsidRPr="00034F2D">
        <w:rPr>
          <w:rFonts w:ascii="Times New Roman" w:hAnsi="Times New Roman" w:cs="Times New Roman"/>
          <w:szCs w:val="24"/>
        </w:rPr>
        <w:t>要求</w:t>
      </w:r>
      <w:r w:rsidR="00365B85" w:rsidRPr="00034F2D">
        <w:rPr>
          <w:rFonts w:ascii="Times New Roman" w:hAnsi="Times New Roman" w:cs="Times New Roman"/>
          <w:szCs w:val="24"/>
        </w:rPr>
        <w:t>。</w:t>
      </w:r>
    </w:p>
    <w:p w:rsidR="005624A3" w:rsidRPr="00034F2D" w:rsidRDefault="005624A3" w:rsidP="00034F2D">
      <w:pPr>
        <w:spacing w:line="480" w:lineRule="exact"/>
        <w:ind w:firstLineChars="200" w:firstLine="480"/>
        <w:jc w:val="both"/>
        <w:rPr>
          <w:rFonts w:ascii="Times New Roman" w:hAnsi="Times New Roman" w:cs="Times New Roman"/>
          <w:color w:val="000000" w:themeColor="text1"/>
          <w:szCs w:val="24"/>
        </w:rPr>
      </w:pPr>
      <w:r w:rsidRPr="00034F2D">
        <w:rPr>
          <w:rFonts w:ascii="Times New Roman" w:hAnsi="Times New Roman" w:cs="Times New Roman"/>
          <w:szCs w:val="24"/>
        </w:rPr>
        <w:lastRenderedPageBreak/>
        <w:t>基於</w:t>
      </w:r>
      <w:r w:rsidR="00365B85" w:rsidRPr="00034F2D">
        <w:rPr>
          <w:rFonts w:ascii="Times New Roman" w:hAnsi="Times New Roman" w:cs="Times New Roman"/>
          <w:szCs w:val="24"/>
        </w:rPr>
        <w:t>以上理由</w:t>
      </w:r>
      <w:r w:rsidRPr="00034F2D">
        <w:rPr>
          <w:rFonts w:ascii="Times New Roman" w:hAnsi="Times New Roman" w:cs="Times New Roman"/>
          <w:szCs w:val="24"/>
        </w:rPr>
        <w:t>，合議庭否決了</w:t>
      </w:r>
      <w:r w:rsidR="00365B85" w:rsidRPr="00034F2D">
        <w:rPr>
          <w:rFonts w:ascii="Times New Roman" w:hAnsi="Times New Roman" w:cs="Times New Roman"/>
          <w:szCs w:val="24"/>
        </w:rPr>
        <w:t>上訴人的</w:t>
      </w:r>
      <w:r w:rsidRPr="00034F2D">
        <w:rPr>
          <w:rFonts w:ascii="Times New Roman" w:hAnsi="Times New Roman" w:cs="Times New Roman"/>
          <w:szCs w:val="24"/>
        </w:rPr>
        <w:t>再審請求</w:t>
      </w:r>
      <w:r w:rsidR="00365B85" w:rsidRPr="00034F2D">
        <w:rPr>
          <w:rFonts w:ascii="Times New Roman" w:hAnsi="Times New Roman" w:cs="Times New Roman"/>
          <w:szCs w:val="24"/>
        </w:rPr>
        <w:t>。</w:t>
      </w:r>
    </w:p>
    <w:p w:rsidR="005624A3" w:rsidRPr="00034F2D" w:rsidRDefault="005624A3" w:rsidP="00034F2D">
      <w:pPr>
        <w:spacing w:line="480" w:lineRule="exact"/>
        <w:ind w:firstLineChars="200" w:firstLine="480"/>
        <w:jc w:val="both"/>
        <w:rPr>
          <w:rFonts w:ascii="Times New Roman" w:hAnsi="Times New Roman" w:cs="Times New Roman"/>
          <w:color w:val="000000" w:themeColor="text1"/>
          <w:szCs w:val="24"/>
        </w:rPr>
      </w:pPr>
      <w:r w:rsidRPr="00034F2D">
        <w:rPr>
          <w:rFonts w:ascii="Times New Roman" w:hAnsi="Times New Roman" w:cs="Times New Roman"/>
          <w:color w:val="000000" w:themeColor="text1"/>
          <w:szCs w:val="24"/>
        </w:rPr>
        <w:t>參閱</w:t>
      </w:r>
      <w:r w:rsidR="00365B85" w:rsidRPr="00034F2D">
        <w:rPr>
          <w:rFonts w:ascii="Times New Roman" w:hAnsi="Times New Roman" w:cs="Times New Roman"/>
          <w:color w:val="000000" w:themeColor="text1"/>
          <w:szCs w:val="24"/>
        </w:rPr>
        <w:t>中級</w:t>
      </w:r>
      <w:r w:rsidRPr="00034F2D">
        <w:rPr>
          <w:rFonts w:ascii="Times New Roman" w:hAnsi="Times New Roman" w:cs="Times New Roman"/>
          <w:color w:val="000000" w:themeColor="text1"/>
          <w:szCs w:val="24"/>
        </w:rPr>
        <w:t>法院第</w:t>
      </w:r>
      <w:r w:rsidR="00365B85" w:rsidRPr="00034F2D">
        <w:rPr>
          <w:rFonts w:ascii="Times New Roman" w:hAnsi="Times New Roman" w:cs="Times New Roman"/>
          <w:color w:val="000000" w:themeColor="text1"/>
          <w:szCs w:val="24"/>
        </w:rPr>
        <w:t>1027/2017</w:t>
      </w:r>
      <w:r w:rsidRPr="00034F2D">
        <w:rPr>
          <w:rFonts w:ascii="Times New Roman" w:hAnsi="Times New Roman" w:cs="Times New Roman"/>
          <w:color w:val="000000" w:themeColor="text1"/>
          <w:szCs w:val="24"/>
        </w:rPr>
        <w:t>號案的合議庭裁判。</w:t>
      </w:r>
    </w:p>
    <w:p w:rsidR="00034F2D" w:rsidRDefault="00034F2D" w:rsidP="00034F2D">
      <w:pPr>
        <w:widowControl/>
        <w:shd w:val="clear" w:color="auto" w:fill="FFFFFF"/>
        <w:spacing w:line="480" w:lineRule="exact"/>
        <w:ind w:firstLine="480"/>
        <w:jc w:val="both"/>
        <w:rPr>
          <w:rFonts w:ascii="Times New Roman" w:eastAsia="SimSun" w:hAnsi="Times New Roman" w:cs="Times New Roman"/>
          <w:szCs w:val="24"/>
        </w:rPr>
      </w:pPr>
    </w:p>
    <w:p w:rsidR="00034F2D" w:rsidRPr="007E6C6E" w:rsidRDefault="00034F2D" w:rsidP="00034F2D">
      <w:pPr>
        <w:spacing w:line="480" w:lineRule="exact"/>
        <w:jc w:val="center"/>
        <w:rPr>
          <w:rFonts w:ascii="Times New Roman" w:eastAsia="標楷體" w:hAnsi="Times New Roman" w:cs="Times New Roman"/>
        </w:rPr>
      </w:pPr>
    </w:p>
    <w:p w:rsidR="00034F2D" w:rsidRPr="007E6C6E" w:rsidRDefault="00034F2D" w:rsidP="00034F2D">
      <w:pPr>
        <w:spacing w:line="480" w:lineRule="exact"/>
        <w:jc w:val="center"/>
        <w:rPr>
          <w:rFonts w:ascii="Times New Roman" w:eastAsia="標楷體" w:hAnsi="Times New Roman" w:cs="Times New Roman"/>
        </w:rPr>
      </w:pPr>
    </w:p>
    <w:p w:rsidR="00034F2D" w:rsidRPr="00B241F1" w:rsidRDefault="00034F2D" w:rsidP="00034F2D">
      <w:pPr>
        <w:spacing w:line="480" w:lineRule="exact"/>
        <w:jc w:val="center"/>
        <w:rPr>
          <w:rFonts w:ascii="Times New Roman" w:hAnsi="Times New Roman" w:cs="Times New Roman"/>
          <w:color w:val="000000" w:themeColor="text1"/>
          <w:szCs w:val="24"/>
        </w:rPr>
      </w:pPr>
      <w:r w:rsidRPr="00B241F1">
        <w:rPr>
          <w:rFonts w:ascii="Times New Roman" w:hAnsi="Times New Roman" w:cs="Times New Roman"/>
          <w:color w:val="000000" w:themeColor="text1"/>
          <w:szCs w:val="24"/>
        </w:rPr>
        <w:t>終審法院院長辦公室</w:t>
      </w:r>
    </w:p>
    <w:p w:rsidR="00034F2D" w:rsidRPr="00C645A0" w:rsidRDefault="00034F2D" w:rsidP="00034F2D">
      <w:pPr>
        <w:spacing w:line="480" w:lineRule="exact"/>
        <w:jc w:val="center"/>
        <w:rPr>
          <w:rFonts w:ascii="Times New Roman" w:eastAsia="SimSun" w:hAnsi="Times New Roman" w:cs="Times New Roman"/>
          <w:szCs w:val="24"/>
        </w:rPr>
      </w:pPr>
      <w:r>
        <w:rPr>
          <w:rFonts w:ascii="Times New Roman" w:hAnsi="Times New Roman" w:cs="Times New Roman"/>
          <w:color w:val="000000" w:themeColor="text1"/>
          <w:szCs w:val="24"/>
        </w:rPr>
        <w:t>201</w:t>
      </w:r>
      <w:r>
        <w:rPr>
          <w:rFonts w:ascii="Times New Roman" w:eastAsia="SimSun" w:hAnsi="Times New Roman" w:cs="Times New Roman" w:hint="eastAsia"/>
          <w:color w:val="000000" w:themeColor="text1"/>
          <w:szCs w:val="24"/>
        </w:rPr>
        <w:t>8</w:t>
      </w:r>
      <w:r w:rsidRPr="00B241F1">
        <w:rPr>
          <w:rFonts w:ascii="Times New Roman" w:hAnsi="Times New Roman" w:cs="Times New Roman"/>
          <w:color w:val="000000" w:themeColor="text1"/>
          <w:szCs w:val="24"/>
        </w:rPr>
        <w:t>年</w:t>
      </w:r>
      <w:r>
        <w:rPr>
          <w:rFonts w:ascii="Times New Roman" w:eastAsia="SimSun" w:hAnsi="Times New Roman" w:cs="Times New Roman" w:hint="eastAsia"/>
          <w:color w:val="000000" w:themeColor="text1"/>
          <w:szCs w:val="24"/>
        </w:rPr>
        <w:t>1</w:t>
      </w:r>
      <w:r w:rsidRPr="00B241F1">
        <w:rPr>
          <w:rFonts w:ascii="Times New Roman" w:hAnsi="Times New Roman" w:cs="Times New Roman"/>
          <w:color w:val="000000" w:themeColor="text1"/>
          <w:szCs w:val="24"/>
        </w:rPr>
        <w:t>月</w:t>
      </w:r>
      <w:r>
        <w:rPr>
          <w:rFonts w:ascii="Times New Roman" w:eastAsia="SimSun" w:hAnsi="Times New Roman" w:cs="Times New Roman" w:hint="eastAsia"/>
          <w:color w:val="000000" w:themeColor="text1"/>
          <w:szCs w:val="24"/>
        </w:rPr>
        <w:t>9</w:t>
      </w:r>
      <w:r w:rsidRPr="00B241F1">
        <w:rPr>
          <w:rFonts w:ascii="Times New Roman" w:hAnsi="Times New Roman" w:cs="Times New Roman"/>
          <w:color w:val="000000" w:themeColor="text1"/>
          <w:szCs w:val="24"/>
        </w:rPr>
        <w:t>日</w:t>
      </w:r>
    </w:p>
    <w:p w:rsidR="00CB7EA6" w:rsidRPr="00034F2D" w:rsidRDefault="00CB7EA6" w:rsidP="00034F2D">
      <w:pPr>
        <w:spacing w:line="480" w:lineRule="exact"/>
        <w:ind w:firstLineChars="200" w:firstLine="520"/>
        <w:jc w:val="both"/>
        <w:rPr>
          <w:rFonts w:ascii="Times New Roman" w:hAnsi="Times New Roman" w:cs="Times New Roman"/>
          <w:color w:val="000000"/>
          <w:sz w:val="26"/>
          <w:szCs w:val="26"/>
        </w:rPr>
      </w:pPr>
    </w:p>
    <w:sectPr w:rsidR="00CB7EA6" w:rsidRPr="00034F2D" w:rsidSect="00034F2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25"/>
    <w:rsid w:val="00020ACA"/>
    <w:rsid w:val="00034F2D"/>
    <w:rsid w:val="00060E95"/>
    <w:rsid w:val="001F1662"/>
    <w:rsid w:val="00342200"/>
    <w:rsid w:val="00365B85"/>
    <w:rsid w:val="003947D0"/>
    <w:rsid w:val="00441305"/>
    <w:rsid w:val="004A036C"/>
    <w:rsid w:val="005624A3"/>
    <w:rsid w:val="007006AE"/>
    <w:rsid w:val="00860087"/>
    <w:rsid w:val="008F7286"/>
    <w:rsid w:val="00943DE1"/>
    <w:rsid w:val="00951C25"/>
    <w:rsid w:val="00AB18A3"/>
    <w:rsid w:val="00AC3723"/>
    <w:rsid w:val="00B0487C"/>
    <w:rsid w:val="00C5492C"/>
    <w:rsid w:val="00CB7EA6"/>
    <w:rsid w:val="00E54271"/>
    <w:rsid w:val="00E9454A"/>
    <w:rsid w:val="00FD6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41305"/>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5624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41305"/>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562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Huan</dc:creator>
  <cp:keywords/>
  <dc:description/>
  <cp:lastModifiedBy>Ng Chon Man</cp:lastModifiedBy>
  <cp:revision>10</cp:revision>
  <cp:lastPrinted>2018-01-09T03:03:00Z</cp:lastPrinted>
  <dcterms:created xsi:type="dcterms:W3CDTF">2018-01-08T09:48:00Z</dcterms:created>
  <dcterms:modified xsi:type="dcterms:W3CDTF">2018-01-09T09:06:00Z</dcterms:modified>
</cp:coreProperties>
</file>